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105" w:type="pct"/>
        <w:tblInd w:w="-1310" w:type="dxa"/>
        <w:tblLook w:val="01E0" w:firstRow="1" w:lastRow="1" w:firstColumn="1" w:lastColumn="1" w:noHBand="0" w:noVBand="0"/>
      </w:tblPr>
      <w:tblGrid>
        <w:gridCol w:w="5536"/>
        <w:gridCol w:w="5817"/>
      </w:tblGrid>
      <w:tr w:rsidR="00016795" w:rsidRPr="0060376D" w14:paraId="731CE580" w14:textId="77777777" w:rsidTr="00302E18">
        <w:tc>
          <w:tcPr>
            <w:tcW w:w="2438" w:type="pct"/>
          </w:tcPr>
          <w:p w14:paraId="178ECCC6" w14:textId="11BE2C27" w:rsidR="000F20FB" w:rsidRPr="0060376D" w:rsidRDefault="000F20FB" w:rsidP="00A603EB">
            <w:pPr>
              <w:widowControl w:val="0"/>
              <w:jc w:val="center"/>
              <w:rPr>
                <w:bCs/>
                <w:sz w:val="26"/>
                <w:szCs w:val="26"/>
              </w:rPr>
            </w:pPr>
            <w:r w:rsidRPr="0060376D">
              <w:rPr>
                <w:bCs/>
                <w:sz w:val="26"/>
                <w:szCs w:val="26"/>
              </w:rPr>
              <w:t xml:space="preserve">BỘ </w:t>
            </w:r>
            <w:r w:rsidR="00227CDF">
              <w:rPr>
                <w:bCs/>
                <w:sz w:val="26"/>
                <w:szCs w:val="26"/>
              </w:rPr>
              <w:t>NÔNG NGHIỆP</w:t>
            </w:r>
            <w:r w:rsidRPr="0060376D">
              <w:rPr>
                <w:bCs/>
                <w:sz w:val="26"/>
                <w:szCs w:val="26"/>
              </w:rPr>
              <w:t xml:space="preserve"> VÀ MÔI TRƯỜNG</w:t>
            </w:r>
          </w:p>
          <w:p w14:paraId="7064D393" w14:textId="47B0871E" w:rsidR="00016795" w:rsidRPr="0060376D" w:rsidRDefault="00302E18" w:rsidP="00A603EB">
            <w:pPr>
              <w:widowControl w:val="0"/>
              <w:jc w:val="center"/>
              <w:rPr>
                <w:b/>
                <w:sz w:val="26"/>
                <w:szCs w:val="26"/>
              </w:rPr>
            </w:pPr>
            <w:r w:rsidRPr="0060376D">
              <w:rPr>
                <w:b/>
                <w:sz w:val="26"/>
                <w:szCs w:val="26"/>
              </w:rPr>
              <w:t>CỤC MÔI TRƯỜNG</w:t>
            </w:r>
          </w:p>
          <w:p w14:paraId="6715A7B6" w14:textId="63EFF633" w:rsidR="00016795" w:rsidRPr="0060376D" w:rsidRDefault="000F20FB" w:rsidP="00A603EB">
            <w:pPr>
              <w:widowControl w:val="0"/>
              <w:jc w:val="center"/>
              <w:rPr>
                <w:b/>
                <w:sz w:val="26"/>
                <w:szCs w:val="26"/>
                <w:vertAlign w:val="superscript"/>
              </w:rPr>
            </w:pPr>
            <w:r w:rsidRPr="0060376D">
              <w:rPr>
                <w:b/>
                <w:noProof/>
                <w:sz w:val="26"/>
                <w:szCs w:val="26"/>
              </w:rPr>
              <mc:AlternateContent>
                <mc:Choice Requires="wps">
                  <w:drawing>
                    <wp:anchor distT="0" distB="0" distL="114300" distR="114300" simplePos="0" relativeHeight="251659264" behindDoc="0" locked="0" layoutInCell="1" allowOverlap="1" wp14:anchorId="3D878305" wp14:editId="323A4C41">
                      <wp:simplePos x="0" y="0"/>
                      <wp:positionH relativeFrom="column">
                        <wp:posOffset>1241202</wp:posOffset>
                      </wp:positionH>
                      <wp:positionV relativeFrom="paragraph">
                        <wp:posOffset>22225</wp:posOffset>
                      </wp:positionV>
                      <wp:extent cx="950026"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9500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1BD90"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75pt,1.75pt" to="17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" strokecolor="black [3200]" strokeweight=".5pt">
                      <v:stroke joinstyle="miter"/>
                    </v:line>
                  </w:pict>
                </mc:Fallback>
              </mc:AlternateContent>
            </w:r>
          </w:p>
        </w:tc>
        <w:tc>
          <w:tcPr>
            <w:tcW w:w="2562" w:type="pct"/>
          </w:tcPr>
          <w:p w14:paraId="44CFCDF4" w14:textId="76FCAEA5" w:rsidR="00016795" w:rsidRPr="0060376D" w:rsidRDefault="00A603EB" w:rsidP="00A603EB">
            <w:pPr>
              <w:widowControl w:val="0"/>
              <w:jc w:val="center"/>
              <w:rPr>
                <w:b/>
                <w:bCs/>
                <w:sz w:val="26"/>
                <w:szCs w:val="26"/>
                <w:vertAlign w:val="superscript"/>
              </w:rPr>
            </w:pPr>
            <w:r w:rsidRPr="0060376D">
              <w:rPr>
                <w:b/>
                <w:noProof/>
                <w:sz w:val="26"/>
                <w:szCs w:val="26"/>
              </w:rPr>
              <mc:AlternateContent>
                <mc:Choice Requires="wps">
                  <w:drawing>
                    <wp:anchor distT="0" distB="0" distL="114300" distR="114300" simplePos="0" relativeHeight="251662336" behindDoc="0" locked="0" layoutInCell="1" allowOverlap="1" wp14:anchorId="56C4DA57" wp14:editId="0744A1DC">
                      <wp:simplePos x="0" y="0"/>
                      <wp:positionH relativeFrom="column">
                        <wp:posOffset>729392</wp:posOffset>
                      </wp:positionH>
                      <wp:positionV relativeFrom="paragraph">
                        <wp:posOffset>429260</wp:posOffset>
                      </wp:positionV>
                      <wp:extent cx="212756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275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188017"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45pt,33.8pt" to="224.9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" strokecolor="black [3200]" strokeweight=".5pt">
                      <v:stroke joinstyle="miter"/>
                    </v:line>
                  </w:pict>
                </mc:Fallback>
              </mc:AlternateContent>
            </w:r>
            <w:r w:rsidR="00016795" w:rsidRPr="0060376D">
              <w:rPr>
                <w:b/>
                <w:sz w:val="26"/>
                <w:szCs w:val="26"/>
              </w:rPr>
              <w:t>CỘNG HÒA XÃ HỘI CHỦ NGHĨA VIỆT NAM</w:t>
            </w:r>
            <w:r w:rsidR="00016795" w:rsidRPr="0060376D">
              <w:rPr>
                <w:b/>
                <w:sz w:val="26"/>
                <w:szCs w:val="26"/>
              </w:rPr>
              <w:br/>
            </w:r>
            <w:r w:rsidR="00016795" w:rsidRPr="0060376D">
              <w:rPr>
                <w:b/>
                <w:szCs w:val="26"/>
              </w:rPr>
              <w:t>Độc lập - Tự do - Hạnh phúc</w:t>
            </w:r>
            <w:r w:rsidR="00016795" w:rsidRPr="0060376D">
              <w:rPr>
                <w:b/>
                <w:sz w:val="26"/>
                <w:szCs w:val="26"/>
              </w:rPr>
              <w:t xml:space="preserve"> </w:t>
            </w:r>
            <w:r w:rsidR="00016795" w:rsidRPr="0060376D">
              <w:rPr>
                <w:b/>
                <w:sz w:val="26"/>
                <w:szCs w:val="26"/>
              </w:rPr>
              <w:br/>
            </w:r>
          </w:p>
        </w:tc>
      </w:tr>
      <w:tr w:rsidR="00016795" w:rsidRPr="0060376D" w14:paraId="42E61A59" w14:textId="77777777" w:rsidTr="0060376D">
        <w:trPr>
          <w:trHeight w:val="225"/>
        </w:trPr>
        <w:tc>
          <w:tcPr>
            <w:tcW w:w="2438" w:type="pct"/>
          </w:tcPr>
          <w:p w14:paraId="369D53DD" w14:textId="643EF82A" w:rsidR="00016795" w:rsidRPr="0060376D" w:rsidRDefault="00016795" w:rsidP="00F83E7C">
            <w:pPr>
              <w:widowControl w:val="0"/>
              <w:jc w:val="center"/>
            </w:pPr>
            <w:r w:rsidRPr="0060376D">
              <w:t>Số:</w:t>
            </w:r>
            <w:r w:rsidR="000F20FB" w:rsidRPr="0060376D">
              <w:t xml:space="preserve">  </w:t>
            </w:r>
            <w:r w:rsidR="00F83E7C">
              <w:t xml:space="preserve">       </w:t>
            </w:r>
            <w:r w:rsidRPr="0060376D">
              <w:t>/TTr-</w:t>
            </w:r>
            <w:r w:rsidR="00302E18" w:rsidRPr="0060376D">
              <w:t>MT</w:t>
            </w:r>
          </w:p>
        </w:tc>
        <w:tc>
          <w:tcPr>
            <w:tcW w:w="2562" w:type="pct"/>
          </w:tcPr>
          <w:p w14:paraId="4CA72292" w14:textId="2DD79F7C" w:rsidR="00016795" w:rsidRPr="0060376D" w:rsidRDefault="000F20FB" w:rsidP="00F83E7C">
            <w:pPr>
              <w:widowControl w:val="0"/>
              <w:jc w:val="center"/>
              <w:rPr>
                <w:i/>
              </w:rPr>
            </w:pPr>
            <w:r w:rsidRPr="0060376D">
              <w:rPr>
                <w:i/>
              </w:rPr>
              <w:t>Hà Nội</w:t>
            </w:r>
            <w:r w:rsidR="004069D7" w:rsidRPr="0060376D">
              <w:rPr>
                <w:i/>
              </w:rPr>
              <w:t>, ngày</w:t>
            </w:r>
            <w:r w:rsidR="00584D0D" w:rsidRPr="0060376D">
              <w:rPr>
                <w:i/>
              </w:rPr>
              <w:t xml:space="preserve"> </w:t>
            </w:r>
            <w:r w:rsidR="0060376D" w:rsidRPr="0060376D">
              <w:rPr>
                <w:i/>
              </w:rPr>
              <w:t xml:space="preserve"> </w:t>
            </w:r>
            <w:r w:rsidR="00F83E7C">
              <w:rPr>
                <w:i/>
              </w:rPr>
              <w:t xml:space="preserve">    </w:t>
            </w:r>
            <w:r w:rsidR="0060376D" w:rsidRPr="0060376D">
              <w:rPr>
                <w:i/>
              </w:rPr>
              <w:t xml:space="preserve"> </w:t>
            </w:r>
            <w:r w:rsidR="004069D7" w:rsidRPr="0060376D">
              <w:rPr>
                <w:i/>
              </w:rPr>
              <w:t xml:space="preserve"> tháng </w:t>
            </w:r>
            <w:r w:rsidR="00F83E7C">
              <w:rPr>
                <w:i/>
              </w:rPr>
              <w:t xml:space="preserve"> </w:t>
            </w:r>
            <w:r w:rsidR="004549AC">
              <w:rPr>
                <w:i/>
              </w:rPr>
              <w:t xml:space="preserve"> </w:t>
            </w:r>
            <w:r w:rsidR="00F83E7C">
              <w:rPr>
                <w:i/>
              </w:rPr>
              <w:t xml:space="preserve">   </w:t>
            </w:r>
            <w:r w:rsidR="00016795" w:rsidRPr="0060376D">
              <w:rPr>
                <w:i/>
              </w:rPr>
              <w:t>năm 20</w:t>
            </w:r>
            <w:r w:rsidRPr="0060376D">
              <w:rPr>
                <w:i/>
              </w:rPr>
              <w:t>2</w:t>
            </w:r>
            <w:r w:rsidR="00B460EB">
              <w:rPr>
                <w:i/>
              </w:rPr>
              <w:t>5</w:t>
            </w:r>
          </w:p>
        </w:tc>
      </w:tr>
    </w:tbl>
    <w:p w14:paraId="108DA3F9" w14:textId="4EFDA03D" w:rsidR="00016795" w:rsidRPr="0060376D" w:rsidRDefault="005A34DE" w:rsidP="0060376D">
      <w:pPr>
        <w:widowControl w:val="0"/>
        <w:spacing w:line="264" w:lineRule="auto"/>
        <w:jc w:val="center"/>
        <w:rPr>
          <w:b/>
        </w:rPr>
      </w:pPr>
      <w:r w:rsidRPr="005A34DE">
        <w:rPr>
          <w:rFonts w:eastAsia="Times New Roman"/>
          <w:b/>
          <w:bCs/>
          <w:noProof/>
          <w14:ligatures w14:val="standardContextual"/>
        </w:rPr>
        <mc:AlternateContent>
          <mc:Choice Requires="wps">
            <w:drawing>
              <wp:anchor distT="0" distB="0" distL="114300" distR="114300" simplePos="0" relativeHeight="251666432" behindDoc="0" locked="0" layoutInCell="1" allowOverlap="1" wp14:anchorId="04F0A965" wp14:editId="0A277B6C">
                <wp:simplePos x="0" y="0"/>
                <wp:positionH relativeFrom="column">
                  <wp:posOffset>-552450</wp:posOffset>
                </wp:positionH>
                <wp:positionV relativeFrom="paragraph">
                  <wp:posOffset>110490</wp:posOffset>
                </wp:positionV>
                <wp:extent cx="819033" cy="342199"/>
                <wp:effectExtent l="0" t="0" r="1968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033" cy="342199"/>
                        </a:xfrm>
                        <a:prstGeom prst="rect">
                          <a:avLst/>
                        </a:prstGeom>
                        <a:solidFill>
                          <a:srgbClr val="FFFFFF"/>
                        </a:solidFill>
                        <a:ln w="9525">
                          <a:solidFill>
                            <a:srgbClr val="000000"/>
                          </a:solidFill>
                          <a:miter lim="800000"/>
                          <a:headEnd/>
                          <a:tailEnd/>
                        </a:ln>
                      </wps:spPr>
                      <wps:txbx>
                        <w:txbxContent>
                          <w:p w14:paraId="1954AC92" w14:textId="77777777" w:rsidR="005A34DE" w:rsidRPr="00F50F16" w:rsidRDefault="005A34DE" w:rsidP="005A34DE">
                            <w:pPr>
                              <w:rPr>
                                <w:b/>
                                <w:bCs/>
                                <w:iCs/>
                              </w:rPr>
                            </w:pPr>
                            <w:r w:rsidRPr="00F50F16">
                              <w:rPr>
                                <w:b/>
                                <w:bCs/>
                                <w:iC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0A965" id="_x0000_t202" coordsize="21600,21600" o:spt="202" path="m,l,21600r21600,l21600,xe">
                <v:stroke joinstyle="miter"/>
                <v:path gradientshapeok="t" o:connecttype="rect"/>
              </v:shapetype>
              <v:shape id="Text Box 2" o:spid="_x0000_s1026" type="#_x0000_t202" style="position:absolute;left:0;text-align:left;margin-left:-43.5pt;margin-top:8.7pt;width:64.5pt;height:2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">
                <v:textbox>
                  <w:txbxContent>
                    <w:p w14:paraId="1954AC92" w14:textId="77777777" w:rsidR="005A34DE" w:rsidRPr="00F50F16" w:rsidRDefault="005A34DE" w:rsidP="005A34DE">
                      <w:pPr>
                        <w:rPr>
                          <w:b/>
                          <w:bCs/>
                          <w:iCs/>
                        </w:rPr>
                      </w:pPr>
                      <w:r w:rsidRPr="00F50F16">
                        <w:rPr>
                          <w:b/>
                          <w:bCs/>
                          <w:iCs/>
                        </w:rPr>
                        <w:t>Dự thảo</w:t>
                      </w:r>
                    </w:p>
                  </w:txbxContent>
                </v:textbox>
              </v:shape>
            </w:pict>
          </mc:Fallback>
        </mc:AlternateContent>
      </w:r>
    </w:p>
    <w:p w14:paraId="24D8408E" w14:textId="3768EA9F" w:rsidR="00016795" w:rsidRPr="0060376D" w:rsidRDefault="00016795" w:rsidP="004E6448">
      <w:pPr>
        <w:widowControl w:val="0"/>
        <w:spacing w:after="120" w:line="264" w:lineRule="auto"/>
        <w:jc w:val="center"/>
        <w:rPr>
          <w:b/>
        </w:rPr>
      </w:pPr>
      <w:r w:rsidRPr="0060376D">
        <w:rPr>
          <w:b/>
        </w:rPr>
        <w:t>TỜ TRÌNH</w:t>
      </w:r>
    </w:p>
    <w:p w14:paraId="17314ACD" w14:textId="6AF49EE1" w:rsidR="00016795" w:rsidRPr="004E6448" w:rsidRDefault="00F83E7C" w:rsidP="0060376D">
      <w:pPr>
        <w:widowControl w:val="0"/>
        <w:spacing w:after="120" w:line="264" w:lineRule="auto"/>
        <w:jc w:val="center"/>
        <w:rPr>
          <w:b/>
        </w:rPr>
      </w:pPr>
      <w:r w:rsidRPr="004E6448">
        <w:rPr>
          <w:b/>
          <w:noProof/>
        </w:rPr>
        <w:t>Về việc ban hành</w:t>
      </w:r>
      <w:r w:rsidR="004069D7" w:rsidRPr="004E6448">
        <w:rPr>
          <w:b/>
        </w:rPr>
        <w:t xml:space="preserve"> Thông tư </w:t>
      </w:r>
      <w:r w:rsidR="004E6448" w:rsidRPr="004E6448">
        <w:rPr>
          <w:b/>
        </w:rPr>
        <w:t>hướng dẫn một số nội dung trong hoạt động đầu tư theo phương thức đối tác công tư lĩnh vực xử lý chất thải rắn sinh hoạt</w:t>
      </w:r>
    </w:p>
    <w:p w14:paraId="4C7EF6E1" w14:textId="77777777" w:rsidR="004E6448" w:rsidRDefault="004E6448" w:rsidP="00C17AD1">
      <w:pPr>
        <w:widowControl w:val="0"/>
        <w:spacing w:before="480"/>
        <w:ind w:left="1440" w:firstLine="720"/>
      </w:pPr>
      <w:r w:rsidRPr="004E6448">
        <w:rPr>
          <w:b/>
          <w:noProof/>
          <w:spacing w:val="-8"/>
        </w:rPr>
        <mc:AlternateContent>
          <mc:Choice Requires="wps">
            <w:drawing>
              <wp:anchor distT="0" distB="0" distL="114300" distR="114300" simplePos="0" relativeHeight="251664384" behindDoc="0" locked="0" layoutInCell="1" allowOverlap="1" wp14:anchorId="584C0C26" wp14:editId="262200D8">
                <wp:simplePos x="0" y="0"/>
                <wp:positionH relativeFrom="column">
                  <wp:posOffset>1781810</wp:posOffset>
                </wp:positionH>
                <wp:positionV relativeFrom="paragraph">
                  <wp:posOffset>47151</wp:posOffset>
                </wp:positionV>
                <wp:extent cx="2416175" cy="0"/>
                <wp:effectExtent l="0" t="0" r="0" b="0"/>
                <wp:wrapNone/>
                <wp:docPr id="973499551" name="Straight Connector 1"/>
                <wp:cNvGraphicFramePr/>
                <a:graphic xmlns:a="http://schemas.openxmlformats.org/drawingml/2006/main">
                  <a:graphicData uri="http://schemas.microsoft.com/office/word/2010/wordprocessingShape">
                    <wps:wsp>
                      <wps:cNvCnPr/>
                      <wps:spPr>
                        <a:xfrm>
                          <a:off x="0" y="0"/>
                          <a:ext cx="241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3B6862"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0.3pt,3.7pt" to="330.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" strokecolor="black [3200]" strokeweight=".5pt">
                <v:stroke joinstyle="miter"/>
              </v:line>
            </w:pict>
          </mc:Fallback>
        </mc:AlternateContent>
      </w:r>
      <w:r w:rsidR="00016795" w:rsidRPr="0060376D">
        <w:t>Kính gửi:</w:t>
      </w:r>
      <w:r w:rsidR="000F20FB" w:rsidRPr="0060376D">
        <w:t xml:space="preserve"> </w:t>
      </w:r>
    </w:p>
    <w:p w14:paraId="4200F016" w14:textId="6E0E282B" w:rsidR="004E6448" w:rsidRDefault="00932C91" w:rsidP="009140F4">
      <w:pPr>
        <w:widowControl w:val="0"/>
        <w:ind w:left="2160" w:firstLine="720"/>
      </w:pPr>
      <w:r>
        <w:t xml:space="preserve">    </w:t>
      </w:r>
      <w:r w:rsidR="00C17AD1">
        <w:t xml:space="preserve">- </w:t>
      </w:r>
      <w:r w:rsidR="005C5AF0">
        <w:t>Q. Bộ trưởng Trần Đức Thắng</w:t>
      </w:r>
      <w:r w:rsidR="004E6448">
        <w:t>;</w:t>
      </w:r>
    </w:p>
    <w:p w14:paraId="46B92DDB" w14:textId="1AA18E97" w:rsidR="00F16BF9" w:rsidRPr="0060376D" w:rsidRDefault="00932C91" w:rsidP="009140F4">
      <w:pPr>
        <w:widowControl w:val="0"/>
        <w:ind w:left="2160" w:firstLine="720"/>
      </w:pPr>
      <w:r>
        <w:t xml:space="preserve">    </w:t>
      </w:r>
      <w:r w:rsidR="00C17AD1">
        <w:t xml:space="preserve">- </w:t>
      </w:r>
      <w:r w:rsidR="004E6448">
        <w:t>Thứ trưởng Lê Công Thành.</w:t>
      </w:r>
    </w:p>
    <w:p w14:paraId="71F534FD" w14:textId="77777777" w:rsidR="00536E93" w:rsidRDefault="00536E93" w:rsidP="00354F7C">
      <w:pPr>
        <w:widowControl w:val="0"/>
        <w:spacing w:before="120" w:after="120" w:line="264" w:lineRule="auto"/>
        <w:ind w:firstLine="720"/>
        <w:jc w:val="both"/>
        <w:rPr>
          <w:spacing w:val="-2"/>
        </w:rPr>
      </w:pPr>
    </w:p>
    <w:p w14:paraId="1DE2106E" w14:textId="0F909EEA" w:rsidR="00BE34C8" w:rsidRPr="001F78F6" w:rsidRDefault="00BE34C8" w:rsidP="00536E93">
      <w:pPr>
        <w:pStyle w:val="Heading1"/>
        <w:spacing w:after="0" w:line="240" w:lineRule="auto"/>
        <w:rPr>
          <w:rFonts w:cs="Times New Roman"/>
          <w:b w:val="0"/>
          <w:spacing w:val="-2"/>
          <w:sz w:val="28"/>
          <w:szCs w:val="28"/>
        </w:rPr>
      </w:pPr>
      <w:r w:rsidRPr="001F78F6">
        <w:rPr>
          <w:rFonts w:cs="Times New Roman"/>
          <w:b w:val="0"/>
          <w:spacing w:val="-2"/>
          <w:sz w:val="28"/>
          <w:szCs w:val="28"/>
        </w:rPr>
        <w:t xml:space="preserve">Thực hiện chỉ đạo của Lãnh đạo Bộ </w:t>
      </w:r>
      <w:r w:rsidR="00227CDF">
        <w:rPr>
          <w:rFonts w:cs="Times New Roman"/>
          <w:b w:val="0"/>
          <w:spacing w:val="-2"/>
          <w:sz w:val="28"/>
          <w:szCs w:val="28"/>
        </w:rPr>
        <w:t>Nông nghiệp</w:t>
      </w:r>
      <w:r w:rsidRPr="001F78F6">
        <w:rPr>
          <w:rFonts w:cs="Times New Roman"/>
          <w:b w:val="0"/>
          <w:spacing w:val="-2"/>
          <w:sz w:val="28"/>
          <w:szCs w:val="28"/>
        </w:rPr>
        <w:t xml:space="preserve"> và Môi trường, Cục </w:t>
      </w:r>
      <w:r w:rsidR="00227CDF">
        <w:rPr>
          <w:rFonts w:cs="Times New Roman"/>
          <w:b w:val="0"/>
          <w:spacing w:val="-2"/>
          <w:sz w:val="28"/>
          <w:szCs w:val="28"/>
        </w:rPr>
        <w:t>M</w:t>
      </w:r>
      <w:r w:rsidRPr="001F78F6">
        <w:rPr>
          <w:rFonts w:cs="Times New Roman"/>
          <w:b w:val="0"/>
          <w:spacing w:val="-2"/>
          <w:sz w:val="28"/>
          <w:szCs w:val="28"/>
        </w:rPr>
        <w:t>ôi trường đã chủ trì, phối hợp với các đơn vị</w:t>
      </w:r>
      <w:r w:rsidR="00870221" w:rsidRPr="001F78F6">
        <w:rPr>
          <w:rFonts w:cs="Times New Roman"/>
          <w:b w:val="0"/>
          <w:spacing w:val="-2"/>
          <w:sz w:val="28"/>
          <w:szCs w:val="28"/>
        </w:rPr>
        <w:t xml:space="preserve"> liên quan</w:t>
      </w:r>
      <w:r w:rsidRPr="001F78F6">
        <w:rPr>
          <w:rFonts w:cs="Times New Roman"/>
          <w:b w:val="0"/>
          <w:spacing w:val="-2"/>
          <w:sz w:val="28"/>
          <w:szCs w:val="28"/>
        </w:rPr>
        <w:t xml:space="preserve">, các chuyên gia xây dựng và hoàn thiện </w:t>
      </w:r>
      <w:bookmarkStart w:id="0" w:name="_Hlk187045512"/>
      <w:r w:rsidRPr="001F78F6">
        <w:rPr>
          <w:rFonts w:cs="Times New Roman"/>
          <w:b w:val="0"/>
          <w:spacing w:val="-2"/>
          <w:sz w:val="28"/>
          <w:szCs w:val="28"/>
        </w:rPr>
        <w:t xml:space="preserve">dự thảo Thông tư </w:t>
      </w:r>
      <w:r w:rsidR="00A463CE">
        <w:rPr>
          <w:rFonts w:cs="Times New Roman"/>
          <w:b w:val="0"/>
          <w:spacing w:val="-2"/>
          <w:sz w:val="28"/>
          <w:szCs w:val="28"/>
        </w:rPr>
        <w:t>h</w:t>
      </w:r>
      <w:r w:rsidRPr="001F78F6">
        <w:rPr>
          <w:rFonts w:cs="Times New Roman"/>
          <w:b w:val="0"/>
          <w:spacing w:val="-2"/>
          <w:sz w:val="28"/>
          <w:szCs w:val="28"/>
        </w:rPr>
        <w:t xml:space="preserve">ướng dẫn một số nội dung trong hoạt động đầu tư theo phương thức đối tác công tư </w:t>
      </w:r>
      <w:r w:rsidR="00186938">
        <w:rPr>
          <w:rFonts w:cs="Times New Roman"/>
          <w:b w:val="0"/>
          <w:spacing w:val="-2"/>
          <w:sz w:val="28"/>
          <w:szCs w:val="28"/>
        </w:rPr>
        <w:t xml:space="preserve">(PPP) </w:t>
      </w:r>
      <w:r w:rsidRPr="001F78F6">
        <w:rPr>
          <w:rFonts w:cs="Times New Roman"/>
          <w:b w:val="0"/>
          <w:spacing w:val="-2"/>
          <w:sz w:val="28"/>
          <w:szCs w:val="28"/>
        </w:rPr>
        <w:t xml:space="preserve">lĩnh vực xử lý chất thải rắn sinh hoạt </w:t>
      </w:r>
      <w:bookmarkEnd w:id="0"/>
      <w:r w:rsidRPr="001F78F6">
        <w:rPr>
          <w:rFonts w:cs="Times New Roman"/>
          <w:b w:val="0"/>
          <w:spacing w:val="-2"/>
          <w:sz w:val="28"/>
          <w:szCs w:val="28"/>
        </w:rPr>
        <w:t xml:space="preserve">theo quy định của pháp luật </w:t>
      </w:r>
      <w:r w:rsidR="00186938">
        <w:rPr>
          <w:rFonts w:cs="Times New Roman"/>
          <w:b w:val="0"/>
          <w:spacing w:val="-2"/>
          <w:sz w:val="28"/>
          <w:szCs w:val="28"/>
        </w:rPr>
        <w:t xml:space="preserve">về PPP </w:t>
      </w:r>
      <w:r w:rsidRPr="001F78F6">
        <w:rPr>
          <w:rFonts w:cs="Times New Roman"/>
          <w:b w:val="0"/>
          <w:spacing w:val="-2"/>
          <w:sz w:val="28"/>
          <w:szCs w:val="28"/>
        </w:rPr>
        <w:t xml:space="preserve">và kính báo cáo </w:t>
      </w:r>
      <w:r w:rsidR="00F8410D">
        <w:rPr>
          <w:rFonts w:cs="Times New Roman"/>
          <w:b w:val="0"/>
          <w:spacing w:val="-2"/>
          <w:sz w:val="28"/>
          <w:szCs w:val="28"/>
        </w:rPr>
        <w:t>Q. Bộ trưởng Trần Đức Thắng</w:t>
      </w:r>
      <w:r w:rsidRPr="001F78F6">
        <w:rPr>
          <w:rFonts w:cs="Times New Roman"/>
          <w:b w:val="0"/>
          <w:spacing w:val="-2"/>
          <w:sz w:val="28"/>
          <w:szCs w:val="28"/>
        </w:rPr>
        <w:t xml:space="preserve">, Thứ trưởng Lê Công Thành như sau: </w:t>
      </w:r>
    </w:p>
    <w:p w14:paraId="1612452C" w14:textId="2D915009" w:rsidR="00016795" w:rsidRPr="001F78F6" w:rsidRDefault="00016795" w:rsidP="00536E93">
      <w:pPr>
        <w:pStyle w:val="Heading1"/>
        <w:spacing w:after="0" w:line="240" w:lineRule="auto"/>
        <w:rPr>
          <w:rFonts w:cs="Times New Roman"/>
          <w:sz w:val="28"/>
          <w:szCs w:val="28"/>
        </w:rPr>
      </w:pPr>
      <w:r w:rsidRPr="001F78F6">
        <w:rPr>
          <w:rFonts w:cs="Times New Roman"/>
          <w:sz w:val="28"/>
          <w:szCs w:val="28"/>
        </w:rPr>
        <w:t xml:space="preserve">I. </w:t>
      </w:r>
      <w:r w:rsidR="00B64C04" w:rsidRPr="001F78F6">
        <w:rPr>
          <w:rFonts w:cs="Times New Roman"/>
          <w:sz w:val="28"/>
          <w:szCs w:val="28"/>
        </w:rPr>
        <w:t>SỰ CẦN THIẾT, CĂN CỨ, MỤC ĐÍCH BAN HÀNH THÔNG TƯ</w:t>
      </w:r>
    </w:p>
    <w:p w14:paraId="47CB73AD" w14:textId="5F84C336" w:rsidR="00B64C04" w:rsidRPr="001F78F6" w:rsidRDefault="00B64C04" w:rsidP="00870221">
      <w:pPr>
        <w:spacing w:before="120" w:after="80"/>
        <w:ind w:firstLine="720"/>
        <w:jc w:val="both"/>
        <w:rPr>
          <w:b/>
          <w:i/>
          <w:lang w:val="sv-SE"/>
        </w:rPr>
      </w:pPr>
      <w:r w:rsidRPr="001F78F6">
        <w:rPr>
          <w:b/>
          <w:i/>
          <w:lang w:val="sv-SE"/>
        </w:rPr>
        <w:t>1.1. Sự cần thiết</w:t>
      </w:r>
    </w:p>
    <w:p w14:paraId="130CCDD6" w14:textId="3E34E3A9" w:rsidR="00B64C04" w:rsidRPr="001F78F6" w:rsidRDefault="00B64C04" w:rsidP="00B64C04">
      <w:pPr>
        <w:spacing w:before="120" w:after="80"/>
        <w:ind w:firstLine="720"/>
        <w:jc w:val="both"/>
        <w:rPr>
          <w:lang w:val="sv-SE"/>
        </w:rPr>
      </w:pPr>
      <w:r w:rsidRPr="001F78F6">
        <w:rPr>
          <w:lang w:val="sv-SE"/>
        </w:rPr>
        <w:t xml:space="preserve">- Chất thải rắn sinh hoạt (CTRSH) phát sinh ngày càng gia tăng; </w:t>
      </w:r>
      <w:r w:rsidR="00601203">
        <w:rPr>
          <w:lang w:val="sv-SE"/>
        </w:rPr>
        <w:t>hiện nay</w:t>
      </w:r>
      <w:r w:rsidRPr="001F78F6">
        <w:rPr>
          <w:lang w:val="sv-SE"/>
        </w:rPr>
        <w:t xml:space="preserve">, </w:t>
      </w:r>
      <w:r w:rsidR="00227CDF">
        <w:rPr>
          <w:lang w:val="sv-SE"/>
        </w:rPr>
        <w:t>t</w:t>
      </w:r>
      <w:r w:rsidR="00227CDF" w:rsidRPr="00227CDF">
        <w:rPr>
          <w:lang w:val="sv-SE"/>
        </w:rPr>
        <w:t>rong số 62.967,14 tấn CTRSH phát sinh/ngày được thu gom, vận chuyển đến cơ sở xử lý thì tỷ lệ CTRSH được xử lý bằng chôn lấp chiếm tỷ lệ 59,32%; xử lý bằng phương pháp đốt có phát điện chiếm tỷ lệ 15,54%; xử lý bằng phương pháp đốt không phát điện chiếm tỷ lệ 14,2%; xử lý chất thải thực phẩm thành mùn/phân hữu cơ chiếm tỷ lệ 10,94% tổng khối lượng được thu gom, vận chuyển, xử lý.</w:t>
      </w:r>
      <w:r w:rsidRPr="001F78F6">
        <w:rPr>
          <w:lang w:val="sv-SE"/>
        </w:rPr>
        <w:t xml:space="preserve"> Dự báo đến năm 2050, tổng lượng CTR sinh hoạt phát sinh dự kiến đạt 95.721 tấn/ngày (khoảng 34,96 triệu tấn/năm).</w:t>
      </w:r>
    </w:p>
    <w:p w14:paraId="6D413DFE" w14:textId="77777777" w:rsidR="00B64C04" w:rsidRDefault="00B64C04" w:rsidP="00B64C04">
      <w:pPr>
        <w:spacing w:before="120" w:after="80"/>
        <w:ind w:firstLine="720"/>
        <w:jc w:val="both"/>
        <w:rPr>
          <w:lang w:val="sv-SE"/>
        </w:rPr>
      </w:pPr>
      <w:r w:rsidRPr="001F78F6">
        <w:rPr>
          <w:lang w:val="sv-SE"/>
        </w:rPr>
        <w:t>- Thực tế hiện nay và nhu cầu các năm tiếp theo, Việt Nam cần nguồn lực tài chính lớn đầu tư các cơ sở xử lý chất thải rắn sinh hoạt bằng công nghệ hiện đại hoặc chuyển đổi công công nghệ xử lý CTRSH từ chôn lấp sang công nghệ sản xuất mùn/hữu cơ và xử lý CTRSH kết hợp thu hồi năng lượng.</w:t>
      </w:r>
    </w:p>
    <w:p w14:paraId="20F79D67" w14:textId="20D3B41A" w:rsidR="00FA7FA1" w:rsidRPr="001F78F6" w:rsidRDefault="00FA7FA1" w:rsidP="00B64C04">
      <w:pPr>
        <w:spacing w:before="120" w:after="80"/>
        <w:ind w:firstLine="720"/>
        <w:jc w:val="both"/>
        <w:rPr>
          <w:lang w:val="sv-SE"/>
        </w:rPr>
      </w:pPr>
      <w:r>
        <w:rPr>
          <w:lang w:val="sv-SE"/>
        </w:rPr>
        <w:t>- Theo quy định hiện nay, nước ta có 03 hình thức đầu tư cho xử lý CTRSH, bao gồm (i) Nhà nước tự đầu tư thực hiện theo quy định của Luật Đầu tư công, (ii) Xã hội hóa theo quy định của Luật Đầu tư, (iii) Đầu tư theo phương thức PPP theo quy định của Luật Đầu tư theo phương thức PPP.</w:t>
      </w:r>
    </w:p>
    <w:p w14:paraId="3326B667" w14:textId="22F69D92" w:rsidR="00FA7FA1" w:rsidRDefault="00B64C04" w:rsidP="00F12613">
      <w:pPr>
        <w:spacing w:before="120" w:after="80"/>
        <w:ind w:firstLine="720"/>
        <w:jc w:val="both"/>
        <w:rPr>
          <w:lang w:val="sv-SE"/>
        </w:rPr>
      </w:pPr>
      <w:r w:rsidRPr="001F78F6">
        <w:rPr>
          <w:lang w:val="sv-SE"/>
        </w:rPr>
        <w:t>- Kể từ khi ban hành Luật PPP vào năm 2020</w:t>
      </w:r>
      <w:r w:rsidR="005665B3">
        <w:rPr>
          <w:lang w:val="sv-SE"/>
        </w:rPr>
        <w:t xml:space="preserve"> (được sửa đổi, bổ sung tại </w:t>
      </w:r>
      <w:r w:rsidR="005665B3" w:rsidRPr="005665B3">
        <w:rPr>
          <w:lang w:val="sv-SE"/>
        </w:rPr>
        <w:t>Luật số 57/2024/QH15 của Quốc hội: Luật sửa đổi, bổ sung một số điều của Luật Quy hoạch, Luật Đầu tư, Luật Đầu tư theo phương thức đối tác công tư và Luật Đấu thầu</w:t>
      </w:r>
      <w:r w:rsidR="005665B3">
        <w:rPr>
          <w:lang w:val="sv-SE"/>
        </w:rPr>
        <w:t>)</w:t>
      </w:r>
      <w:r w:rsidRPr="001F78F6">
        <w:rPr>
          <w:lang w:val="sv-SE"/>
        </w:rPr>
        <w:t xml:space="preserve">, hầu hết các dự án PPP trong lĩnh vực xử lý CTRSH đều đang ở giai đoạn </w:t>
      </w:r>
      <w:r w:rsidRPr="001F78F6">
        <w:rPr>
          <w:lang w:val="sv-SE"/>
        </w:rPr>
        <w:lastRenderedPageBreak/>
        <w:t xml:space="preserve">chuẩn bị dự án, trong đó có một số dự án PPP đã bắt đầu triển khai lập, phê duyệt báo cáo nghiên cứu tiền khả thi (NCTKT) hoặc đang xây dựng Dự án theo hình thức PPP, cụ thể như: (1) Dự án Nhà máy xử lý </w:t>
      </w:r>
      <w:r w:rsidR="00F31D27">
        <w:rPr>
          <w:lang w:val="sv-SE"/>
        </w:rPr>
        <w:t>chất thải rắn</w:t>
      </w:r>
      <w:r w:rsidRPr="001F78F6">
        <w:rPr>
          <w:lang w:val="sv-SE"/>
        </w:rPr>
        <w:t xml:space="preserve"> phát điện tại xã Vĩnh Tân, huyện Vĩnh Cửu, tỉnh Đồng Nai; (2) Dự án xử lý </w:t>
      </w:r>
      <w:r w:rsidR="00F31D27">
        <w:rPr>
          <w:lang w:val="sv-SE"/>
        </w:rPr>
        <w:t>chất thải rắn sinh hoạt (</w:t>
      </w:r>
      <w:r w:rsidRPr="001F78F6">
        <w:rPr>
          <w:lang w:val="sv-SE"/>
        </w:rPr>
        <w:t>CTRSH</w:t>
      </w:r>
      <w:r w:rsidR="00F31D27">
        <w:rPr>
          <w:lang w:val="sv-SE"/>
        </w:rPr>
        <w:t>)</w:t>
      </w:r>
      <w:r w:rsidRPr="001F78F6">
        <w:rPr>
          <w:lang w:val="sv-SE"/>
        </w:rPr>
        <w:t xml:space="preserve"> tại phường Hòa Khánh Nam, quận Liên Chiểu, thành phố Đà Nẵng; (3) Dự án Nhà máy xử lý CTRSH tập trung tại xã Trung Mỹ, huyện Bình Xuyên, tỉnh Vĩnh Phúc</w:t>
      </w:r>
      <w:r w:rsidR="00554204">
        <w:rPr>
          <w:lang w:val="sv-SE"/>
        </w:rPr>
        <w:t xml:space="preserve"> (nay là tỉnh Phú Thọ)</w:t>
      </w:r>
      <w:r w:rsidRPr="001F78F6">
        <w:rPr>
          <w:lang w:val="sv-SE"/>
        </w:rPr>
        <w:t>; (4) Dự án Nhà máy xử lý chất thải rắn sinh hoạt bằng công nghệ đốt rác phát điện tại Đình Vũ, quận Hải An, Hải Phòng; (5) Dự án Nhà máy xử lý chất thải rắn sinh hoạt với công nghệ đốt rác phát điện tại</w:t>
      </w:r>
      <w:r w:rsidR="00554204">
        <w:rPr>
          <w:lang w:val="sv-SE"/>
        </w:rPr>
        <w:t xml:space="preserve"> tỉnh</w:t>
      </w:r>
      <w:r w:rsidRPr="001F78F6">
        <w:rPr>
          <w:lang w:val="sv-SE"/>
        </w:rPr>
        <w:t xml:space="preserve"> Bình Định</w:t>
      </w:r>
      <w:r w:rsidR="00554204">
        <w:rPr>
          <w:lang w:val="sv-SE"/>
        </w:rPr>
        <w:t xml:space="preserve"> (nay là tỉnh Gia Lai)</w:t>
      </w:r>
      <w:r w:rsidR="00162E4C">
        <w:rPr>
          <w:lang w:val="sv-SE"/>
        </w:rPr>
        <w:t xml:space="preserve"> và các dự án khác thuộc thẩm quyền cấp tỉnh hoặc đang kêu gọi đầu tư</w:t>
      </w:r>
      <w:r w:rsidRPr="001F78F6">
        <w:rPr>
          <w:lang w:val="sv-SE"/>
        </w:rPr>
        <w:t>.</w:t>
      </w:r>
      <w:r w:rsidR="00F12613">
        <w:rPr>
          <w:lang w:val="sv-SE"/>
        </w:rPr>
        <w:t xml:space="preserve"> </w:t>
      </w:r>
    </w:p>
    <w:p w14:paraId="01F28140" w14:textId="254D744F" w:rsidR="00B64C04" w:rsidRPr="001F78F6" w:rsidRDefault="00F12613" w:rsidP="00F12613">
      <w:pPr>
        <w:spacing w:before="120" w:after="80"/>
        <w:ind w:firstLine="720"/>
        <w:jc w:val="both"/>
        <w:rPr>
          <w:lang w:val="sv-SE"/>
        </w:rPr>
      </w:pPr>
      <w:r>
        <w:rPr>
          <w:lang w:val="sv-SE"/>
        </w:rPr>
        <w:t xml:space="preserve">Tuy nhiên, hiện chưa có </w:t>
      </w:r>
      <w:r w:rsidR="00F31D27" w:rsidRPr="00F31D27">
        <w:rPr>
          <w:lang w:val="sv-SE"/>
        </w:rPr>
        <w:t>Thông tư hướng dẫn một số nội dung trong hoạt động đầu tư theo phương thức đối tác công tư (PPP) lĩnh vực xử lý chất thải rắn sinh hoạt</w:t>
      </w:r>
      <w:r w:rsidR="00F31D27">
        <w:rPr>
          <w:lang w:val="sv-SE"/>
        </w:rPr>
        <w:t xml:space="preserve"> (sau đây gọi tắt là dự thảo Thông tư)</w:t>
      </w:r>
      <w:r w:rsidR="00B64C04" w:rsidRPr="001F78F6">
        <w:rPr>
          <w:lang w:val="sv-SE"/>
        </w:rPr>
        <w:t xml:space="preserve">. </w:t>
      </w:r>
      <w:r w:rsidR="00F31D27">
        <w:rPr>
          <w:lang w:val="sv-SE"/>
        </w:rPr>
        <w:t xml:space="preserve">Căn cứ </w:t>
      </w:r>
      <w:r w:rsidR="00F31D27" w:rsidRPr="00F31D27">
        <w:rPr>
          <w:lang w:val="sv-SE"/>
        </w:rPr>
        <w:t>Nghị định số 35/2021/NĐ-CP ngày  29</w:t>
      </w:r>
      <w:r w:rsidR="00F31D27">
        <w:rPr>
          <w:lang w:val="sv-SE"/>
        </w:rPr>
        <w:t>/</w:t>
      </w:r>
      <w:r w:rsidR="00F31D27" w:rsidRPr="00F31D27">
        <w:rPr>
          <w:lang w:val="sv-SE"/>
        </w:rPr>
        <w:t>3</w:t>
      </w:r>
      <w:r w:rsidR="00F31D27">
        <w:rPr>
          <w:lang w:val="sv-SE"/>
        </w:rPr>
        <w:t>/</w:t>
      </w:r>
      <w:r w:rsidR="00F31D27" w:rsidRPr="00F31D27">
        <w:rPr>
          <w:lang w:val="sv-SE"/>
        </w:rPr>
        <w:t>2021 của Chính phủ quy định chi tiết và hướng dẫn thi hành Luật Đầu tư theo phương thức đối tác công tư</w:t>
      </w:r>
      <w:r w:rsidR="006A1360">
        <w:rPr>
          <w:lang w:val="sv-SE"/>
        </w:rPr>
        <w:t xml:space="preserve"> (</w:t>
      </w:r>
      <w:r w:rsidR="00D72B25">
        <w:rPr>
          <w:lang w:val="sv-SE"/>
        </w:rPr>
        <w:t xml:space="preserve">được sửa đổi, bổ sung tại </w:t>
      </w:r>
      <w:r w:rsidR="00D72B25" w:rsidRPr="00D72B25">
        <w:rPr>
          <w:lang w:val="sv-SE"/>
        </w:rPr>
        <w:t>Nghị định số 71/2025/NĐ-CP ngày 28 tháng 3 năm 2025</w:t>
      </w:r>
      <w:r w:rsidR="00D72B25">
        <w:rPr>
          <w:lang w:val="sv-SE"/>
        </w:rPr>
        <w:t xml:space="preserve"> của Chính phủ s</w:t>
      </w:r>
      <w:r w:rsidR="00D72B25" w:rsidRPr="00D72B25">
        <w:rPr>
          <w:lang w:val="sv-SE"/>
        </w:rPr>
        <w:t>ửa đổi, bổ sung một số điều của Nghị định số 35/2021/NĐ-CP</w:t>
      </w:r>
      <w:r w:rsidR="00D72B25">
        <w:rPr>
          <w:lang w:val="sv-SE"/>
        </w:rPr>
        <w:t>)</w:t>
      </w:r>
      <w:r w:rsidR="00FA7FA1">
        <w:rPr>
          <w:lang w:val="sv-SE"/>
        </w:rPr>
        <w:t xml:space="preserve">, Bộ </w:t>
      </w:r>
      <w:r w:rsidR="00227CDF">
        <w:rPr>
          <w:lang w:val="sv-SE"/>
        </w:rPr>
        <w:t>Nông nghiệp và Môi trường</w:t>
      </w:r>
      <w:r w:rsidR="00FA7FA1">
        <w:rPr>
          <w:lang w:val="sv-SE"/>
        </w:rPr>
        <w:t xml:space="preserve"> </w:t>
      </w:r>
      <w:r w:rsidR="00F31D27">
        <w:rPr>
          <w:lang w:val="sv-SE"/>
        </w:rPr>
        <w:t>có trách nhiệm xây dựng và</w:t>
      </w:r>
      <w:r w:rsidR="00FA7FA1">
        <w:rPr>
          <w:lang w:val="sv-SE"/>
        </w:rPr>
        <w:t xml:space="preserve"> ban hành </w:t>
      </w:r>
      <w:r w:rsidR="00F31D27">
        <w:rPr>
          <w:lang w:val="sv-SE"/>
        </w:rPr>
        <w:t>V</w:t>
      </w:r>
      <w:r w:rsidR="00FA7FA1">
        <w:rPr>
          <w:lang w:val="sv-SE"/>
        </w:rPr>
        <w:t>ăn bản hướng dẫn</w:t>
      </w:r>
      <w:r w:rsidR="00FA7FA1" w:rsidRPr="00FA7FA1">
        <w:rPr>
          <w:lang w:val="sv-SE"/>
        </w:rPr>
        <w:t xml:space="preserve"> </w:t>
      </w:r>
      <w:r w:rsidR="00FA7FA1" w:rsidRPr="00F12613">
        <w:rPr>
          <w:lang w:val="sv-SE"/>
        </w:rPr>
        <w:t xml:space="preserve">hoạt động đầu tư theo phương thức </w:t>
      </w:r>
      <w:r w:rsidR="00FA7FA1">
        <w:rPr>
          <w:lang w:val="sv-SE"/>
        </w:rPr>
        <w:t xml:space="preserve">PPP trong </w:t>
      </w:r>
      <w:r w:rsidR="00FA7FA1" w:rsidRPr="00F12613">
        <w:rPr>
          <w:lang w:val="sv-SE"/>
        </w:rPr>
        <w:t>lĩnh vực xử lý chất thải rắn sinh hoạt</w:t>
      </w:r>
      <w:r w:rsidR="00FA7FA1">
        <w:rPr>
          <w:lang w:val="sv-SE"/>
        </w:rPr>
        <w:t>.</w:t>
      </w:r>
      <w:r w:rsidR="002D7658">
        <w:rPr>
          <w:lang w:val="sv-SE"/>
        </w:rPr>
        <w:t xml:space="preserve"> </w:t>
      </w:r>
      <w:r w:rsidR="00F31D27">
        <w:rPr>
          <w:lang w:val="sv-SE"/>
        </w:rPr>
        <w:t>Thực hiện phân công của Lãnh đạo Bộ</w:t>
      </w:r>
      <w:r w:rsidR="002D7658">
        <w:rPr>
          <w:lang w:val="sv-SE"/>
        </w:rPr>
        <w:t xml:space="preserve">, Cục </w:t>
      </w:r>
      <w:r w:rsidR="00227CDF">
        <w:rPr>
          <w:lang w:val="sv-SE"/>
        </w:rPr>
        <w:t>M</w:t>
      </w:r>
      <w:r w:rsidR="00F31D27">
        <w:rPr>
          <w:lang w:val="sv-SE"/>
        </w:rPr>
        <w:t>ôi trường</w:t>
      </w:r>
      <w:r w:rsidR="002D7658">
        <w:rPr>
          <w:lang w:val="sv-SE"/>
        </w:rPr>
        <w:t xml:space="preserve"> đã nghiên cứu và xây dựng dự thảo Thông tư.</w:t>
      </w:r>
    </w:p>
    <w:p w14:paraId="312DAF85" w14:textId="4B18E4EB" w:rsidR="00870221" w:rsidRPr="001F78F6" w:rsidRDefault="00870221" w:rsidP="00870221">
      <w:pPr>
        <w:spacing w:before="120" w:after="80"/>
        <w:ind w:firstLine="720"/>
        <w:jc w:val="both"/>
        <w:rPr>
          <w:b/>
          <w:i/>
          <w:lang w:val="sv-SE"/>
        </w:rPr>
      </w:pPr>
      <w:r w:rsidRPr="001F78F6">
        <w:rPr>
          <w:b/>
          <w:i/>
          <w:lang w:val="sv-SE"/>
        </w:rPr>
        <w:t>1.</w:t>
      </w:r>
      <w:r w:rsidR="00B64C04" w:rsidRPr="001F78F6">
        <w:rPr>
          <w:b/>
          <w:i/>
          <w:lang w:val="sv-SE"/>
        </w:rPr>
        <w:t>2</w:t>
      </w:r>
      <w:r w:rsidRPr="001F78F6">
        <w:rPr>
          <w:b/>
          <w:i/>
          <w:lang w:val="sv-SE"/>
        </w:rPr>
        <w:t xml:space="preserve">. </w:t>
      </w:r>
      <w:r w:rsidR="00B64C04" w:rsidRPr="001F78F6">
        <w:rPr>
          <w:b/>
          <w:i/>
          <w:lang w:val="sv-SE"/>
        </w:rPr>
        <w:t>Căn cứ</w:t>
      </w:r>
      <w:r w:rsidRPr="001F78F6">
        <w:rPr>
          <w:b/>
          <w:i/>
          <w:lang w:val="sv-SE"/>
        </w:rPr>
        <w:t xml:space="preserve"> pháp lý:</w:t>
      </w:r>
    </w:p>
    <w:p w14:paraId="40B35C34" w14:textId="7DDCFCBC" w:rsidR="00870221" w:rsidRPr="001F78F6" w:rsidRDefault="00870221" w:rsidP="00870221">
      <w:pPr>
        <w:spacing w:before="120" w:after="80"/>
        <w:ind w:firstLine="720"/>
        <w:jc w:val="both"/>
        <w:rPr>
          <w:lang w:val="sv-SE"/>
        </w:rPr>
      </w:pPr>
      <w:r w:rsidRPr="001F78F6">
        <w:rPr>
          <w:lang w:val="sv-SE"/>
        </w:rPr>
        <w:t>a. Tại khoản 3 Điều 93 Nghị định số 35/2021/NĐ-CP ngày  29</w:t>
      </w:r>
      <w:r w:rsidR="00F31D27">
        <w:rPr>
          <w:lang w:val="sv-SE"/>
        </w:rPr>
        <w:t>/</w:t>
      </w:r>
      <w:r w:rsidRPr="001F78F6">
        <w:rPr>
          <w:lang w:val="sv-SE"/>
        </w:rPr>
        <w:t>3</w:t>
      </w:r>
      <w:r w:rsidR="00F31D27">
        <w:rPr>
          <w:lang w:val="sv-SE"/>
        </w:rPr>
        <w:t>/</w:t>
      </w:r>
      <w:r w:rsidRPr="001F78F6">
        <w:rPr>
          <w:lang w:val="sv-SE"/>
        </w:rPr>
        <w:t>2021 của Chính phủ quy định chi tiết và hướng dẫn thi hành Luật Đầu tư theo phương thức đối tác công tư</w:t>
      </w:r>
      <w:r w:rsidR="00E01CBF">
        <w:rPr>
          <w:lang w:val="sv-SE"/>
        </w:rPr>
        <w:t xml:space="preserve"> (được sửa đổi, bổ sung tại </w:t>
      </w:r>
      <w:r w:rsidR="00E01CBF" w:rsidRPr="00D72B25">
        <w:rPr>
          <w:lang w:val="sv-SE"/>
        </w:rPr>
        <w:t>Nghị định số 71/2025/NĐ-CP</w:t>
      </w:r>
      <w:r w:rsidR="00E01CBF">
        <w:rPr>
          <w:lang w:val="sv-SE"/>
        </w:rPr>
        <w:t>)</w:t>
      </w:r>
      <w:r w:rsidRPr="001F78F6">
        <w:rPr>
          <w:lang w:val="sv-SE"/>
        </w:rPr>
        <w:t xml:space="preserve"> đã giao: Các bộ, cơ quan ngang bộ chịu trách nhiệm chủ trì hướng dẫn chi tiết các nội dung trong hoạt động đầu tư theo phương thức đối tác công tư (PPP) thuộc phạm vi quản lý của bộ, ngành mình, bao gồm:</w:t>
      </w:r>
    </w:p>
    <w:p w14:paraId="3BE51D65" w14:textId="77777777" w:rsidR="00870221" w:rsidRPr="001F78F6" w:rsidRDefault="00870221" w:rsidP="00870221">
      <w:pPr>
        <w:spacing w:before="120" w:after="80"/>
        <w:ind w:firstLine="720"/>
        <w:jc w:val="both"/>
        <w:rPr>
          <w:lang w:val="sv-SE"/>
        </w:rPr>
      </w:pPr>
      <w:r w:rsidRPr="001F78F6">
        <w:rPr>
          <w:lang w:val="sv-SE"/>
        </w:rPr>
        <w:t>- Cơ quan chịu trách nhiệm thẩm định thiết kế theo pháp luật chuyên ngành;</w:t>
      </w:r>
    </w:p>
    <w:p w14:paraId="5FA571BF" w14:textId="77777777" w:rsidR="00870221" w:rsidRPr="001F78F6" w:rsidRDefault="00870221" w:rsidP="00870221">
      <w:pPr>
        <w:spacing w:before="120" w:after="80"/>
        <w:ind w:firstLine="720"/>
        <w:jc w:val="both"/>
        <w:rPr>
          <w:lang w:val="sv-SE"/>
        </w:rPr>
      </w:pPr>
      <w:r w:rsidRPr="001F78F6">
        <w:rPr>
          <w:lang w:val="sv-SE"/>
        </w:rPr>
        <w:t>- Nội dung trong báo cáo nghiên cứu tiền khả thi, báo cáo nghiên cứu khả thi bao gồm: chỉ tiêu hiệu quả kinh tế xã hội; khung lợi nhuận trên vốn chủ sở hữu của nhà đầu tư; chỉ số đánh giá chất lượng của công trình, hệ thống cơ sở hạ tầng, cung cấp dịch vụ công do doanh nghiệp dự án cung cấp; thời hạn khấu hao công trình, hệ thống cơ sở hạ tầng;</w:t>
      </w:r>
    </w:p>
    <w:p w14:paraId="6909A638" w14:textId="77777777" w:rsidR="00870221" w:rsidRPr="001F78F6" w:rsidRDefault="00870221" w:rsidP="00870221">
      <w:pPr>
        <w:spacing w:before="120" w:after="80"/>
        <w:ind w:firstLine="720"/>
        <w:jc w:val="both"/>
        <w:rPr>
          <w:lang w:val="sv-SE"/>
        </w:rPr>
      </w:pPr>
      <w:r w:rsidRPr="001F78F6">
        <w:rPr>
          <w:lang w:val="sv-SE"/>
        </w:rPr>
        <w:t>- Nội dung chi tiết tiêu chuẩn và phương pháp đánh giá hồ sơ dự thầu bao gồm: tiêu chuẩn và phương pháp đánh giá về năng lực, kinh nghiệm; kỹ thuật; tài chính - thương mại; tiêu chí ưu tiên nhà đầu tư có kinh nghiệm thực hiện dự án tại các nước thuộc Tổ chức Hợp tác và Phát triển Kinh tế OECD (nếu áp dụng);</w:t>
      </w:r>
    </w:p>
    <w:p w14:paraId="323A9985" w14:textId="77777777" w:rsidR="00870221" w:rsidRPr="001F78F6" w:rsidRDefault="00870221" w:rsidP="00870221">
      <w:pPr>
        <w:spacing w:before="120" w:after="80"/>
        <w:ind w:firstLine="720"/>
        <w:jc w:val="both"/>
        <w:rPr>
          <w:lang w:val="sv-SE"/>
        </w:rPr>
      </w:pPr>
      <w:r w:rsidRPr="001F78F6">
        <w:rPr>
          <w:lang w:val="sv-SE"/>
        </w:rPr>
        <w:t>- Mẫu hợp đồng dự án phù hợp với yêu cầu thực hiện dự án của ngành, lĩnh vực mình quản lý căn cứ nội dung cơ bản của hợp đồng dự án PPP quy định tại Điều 47 của Luật PPP và Hướng dẫn lập hợp đồng mẫu dự án PPP tại Phụ lục VI kèm theo Nghị định số 35/2021/NĐ-CP;</w:t>
      </w:r>
    </w:p>
    <w:p w14:paraId="0D2061BB" w14:textId="5E4A448F" w:rsidR="00870221" w:rsidRPr="001F78F6" w:rsidRDefault="00870221" w:rsidP="00870221">
      <w:pPr>
        <w:spacing w:before="120" w:after="80"/>
        <w:ind w:firstLine="720"/>
        <w:jc w:val="both"/>
        <w:rPr>
          <w:lang w:val="sv-SE"/>
        </w:rPr>
      </w:pPr>
      <w:r w:rsidRPr="001F78F6">
        <w:rPr>
          <w:lang w:val="sv-SE"/>
        </w:rPr>
        <w:lastRenderedPageBreak/>
        <w:t>- Nội dung cần thiết khác nhưng bảo đảm không trái với các quy định của Luật PPP và Nghị định số 35/2021/NĐ-CP</w:t>
      </w:r>
      <w:r w:rsidR="00E01CBF">
        <w:rPr>
          <w:lang w:val="sv-SE"/>
        </w:rPr>
        <w:t xml:space="preserve"> (được sửa đổi, bổ sung tại </w:t>
      </w:r>
      <w:r w:rsidR="00E01CBF" w:rsidRPr="00D72B25">
        <w:rPr>
          <w:lang w:val="sv-SE"/>
        </w:rPr>
        <w:t>Nghị định số 71/2025/NĐ-CP</w:t>
      </w:r>
      <w:r w:rsidR="005665B3">
        <w:rPr>
          <w:lang w:val="sv-SE"/>
        </w:rPr>
        <w:t>)</w:t>
      </w:r>
      <w:r w:rsidRPr="001F78F6">
        <w:rPr>
          <w:lang w:val="sv-SE"/>
        </w:rPr>
        <w:t>.</w:t>
      </w:r>
    </w:p>
    <w:p w14:paraId="2E51F151" w14:textId="77777777" w:rsidR="00870221" w:rsidRPr="001F78F6" w:rsidRDefault="00870221" w:rsidP="00870221">
      <w:pPr>
        <w:spacing w:before="120" w:after="80"/>
        <w:ind w:firstLine="720"/>
        <w:jc w:val="both"/>
        <w:rPr>
          <w:lang w:val="sv-SE"/>
        </w:rPr>
      </w:pPr>
      <w:r w:rsidRPr="001F78F6">
        <w:rPr>
          <w:lang w:val="sv-SE"/>
        </w:rPr>
        <w:t>b. Ngày 23/11/2021, Thủ tướng Chính phủ đã ban hành Chỉ thị 30/CT-TTg về việc đẩy nhanh việc thực hiện các văn bản quy phạm pháp luật về đầu tư theo phương thức PPP và đấu thầu lựa chọn nhà đầu tư theo quy định tại Nghị định số 35/2021/NĐ-CP, trong đó có nội dung:</w:t>
      </w:r>
    </w:p>
    <w:p w14:paraId="18A3749D" w14:textId="77777777" w:rsidR="00870221" w:rsidRPr="001F78F6" w:rsidRDefault="00870221" w:rsidP="00870221">
      <w:pPr>
        <w:spacing w:before="120" w:after="80"/>
        <w:ind w:firstLine="720"/>
        <w:jc w:val="both"/>
        <w:rPr>
          <w:lang w:val="sv-SE"/>
        </w:rPr>
      </w:pPr>
      <w:r w:rsidRPr="001F78F6">
        <w:rPr>
          <w:lang w:val="sv-SE"/>
        </w:rPr>
        <w:t>- Các Bộ, cơ quan ngang bộ chủ trì hướng dẫn chi tiết các nội dung trong hoạt động đầu tư theo phương thức đối tác công tư thuộc phạm vi quản lý của bộ, ngành mình, bao gồm: Nội dung trong báo cáo nghiên cứu tiền khả thi, báo cáo nghiên cứu khả thi, nội dung chi tiết tiêu chuẩn và phương pháp đánh giá hồ sơ dự thầu, mẫu hợp đồng dự án phù hợp với yêu cầu thực hiện dự án của ngành, lĩnh vực thuộc phạm vi quản lý, cơ quan chịu trách nhiệm thẩm định thiết kế theo pháp luật chuyên ngành và nội dung cần thiết khác theo quy định tại Nghị định số 35/2021/NĐ-CP (Khoản 4 Mục I).</w:t>
      </w:r>
    </w:p>
    <w:p w14:paraId="51BD69C0" w14:textId="77777777" w:rsidR="00870221" w:rsidRPr="001F78F6" w:rsidRDefault="00870221" w:rsidP="00870221">
      <w:pPr>
        <w:spacing w:before="120" w:after="80"/>
        <w:ind w:firstLine="720"/>
        <w:jc w:val="both"/>
        <w:rPr>
          <w:lang w:val="sv-SE"/>
        </w:rPr>
      </w:pPr>
      <w:r w:rsidRPr="001F78F6">
        <w:rPr>
          <w:lang w:val="sv-SE"/>
        </w:rPr>
        <w:t>- Đối với lĩnh vực thoát nước và xử lý nước thải, xử lý chất thải, Bộ Tài nguyên và Môi trường thống nhất với Bộ Xây dựng về cơ quan ban hành Thông tư hướng dẫn chi tiết các nội dung trong hoạt động đầu tư theo phương thức đối tác công tư, báo cáo Thủ tướng Chính phủ trước ngày 31 tháng 12 năm 2021. Căn cứ ý kiến chỉ đạo của Thủ tướng Chính phủ, cơ quan được giao ban hành Thông tư trong Quý II năm 2022 (Khoản 5 Mục I).</w:t>
      </w:r>
    </w:p>
    <w:p w14:paraId="6A8EC5DC" w14:textId="6371E7BB" w:rsidR="00870221" w:rsidRPr="001F78F6" w:rsidRDefault="00870221" w:rsidP="00870221">
      <w:pPr>
        <w:spacing w:before="120" w:after="80"/>
        <w:ind w:firstLine="720"/>
        <w:jc w:val="both"/>
        <w:rPr>
          <w:lang w:val="sv-SE"/>
        </w:rPr>
      </w:pPr>
      <w:r w:rsidRPr="001F78F6">
        <w:rPr>
          <w:lang w:val="sv-SE"/>
        </w:rPr>
        <w:t xml:space="preserve">Theo đó Cục </w:t>
      </w:r>
      <w:r w:rsidR="00E01CBF">
        <w:rPr>
          <w:lang w:val="sv-SE"/>
        </w:rPr>
        <w:t>M</w:t>
      </w:r>
      <w:r w:rsidRPr="001F78F6">
        <w:rPr>
          <w:lang w:val="sv-SE"/>
        </w:rPr>
        <w:t xml:space="preserve">ôi trường đề xuất Bộ </w:t>
      </w:r>
      <w:r w:rsidR="00E01CBF">
        <w:rPr>
          <w:lang w:val="sv-SE"/>
        </w:rPr>
        <w:t>Nông nghiệp</w:t>
      </w:r>
      <w:r w:rsidRPr="001F78F6">
        <w:rPr>
          <w:lang w:val="sv-SE"/>
        </w:rPr>
        <w:t xml:space="preserve"> và Môi trường chủ động chủ trì xây dựng Thông tư Hướng dẫn một số nội dung trong hoạt động đầu tư theo phương thức đối tác công tư lĩnh vực xử lý chất thải rắn sinh hoạt.</w:t>
      </w:r>
    </w:p>
    <w:p w14:paraId="02498455" w14:textId="5BE21EF9" w:rsidR="00870221" w:rsidRPr="001F78F6" w:rsidRDefault="00870221" w:rsidP="00870221">
      <w:pPr>
        <w:spacing w:before="120" w:after="80"/>
        <w:ind w:firstLine="720"/>
        <w:jc w:val="both"/>
        <w:rPr>
          <w:lang w:val="sv-SE"/>
        </w:rPr>
      </w:pPr>
      <w:r w:rsidRPr="001F78F6">
        <w:rPr>
          <w:lang w:val="sv-SE"/>
        </w:rPr>
        <w:t>Bộ Xây dựng xây dựng Thông tư Hướng dẫn một số nội dung trong hoạt động đầu tư theo phương thức đối tác công tư lĩnh vực thoát nước và xử lý nước thải theo chức năng, nhiệm vụ đã được giao.</w:t>
      </w:r>
    </w:p>
    <w:p w14:paraId="59666A93" w14:textId="77777777" w:rsidR="00870221" w:rsidRPr="001F78F6" w:rsidRDefault="00870221" w:rsidP="00870221">
      <w:pPr>
        <w:spacing w:before="120" w:after="80"/>
        <w:ind w:firstLine="720"/>
        <w:jc w:val="both"/>
        <w:rPr>
          <w:lang w:val="sv-SE"/>
        </w:rPr>
      </w:pPr>
      <w:r w:rsidRPr="001F78F6">
        <w:rPr>
          <w:lang w:val="sv-SE"/>
        </w:rPr>
        <w:t xml:space="preserve">c. Tại Khoản 4 Điều 1 Quyết định số 491/QĐ-TTg ngày 7 tháng 5 năm 2018 của Thủ tướng Chính phủ phê duyệt điều chỉnh Chiến lược quốc gia về quản lý tổng hợp chất thải rắn đến năm 2025, tầm nhìn đến năm 2050, trong đó đã nêu một trong những nhiệm vụ cơ bản là “Đẩy mạnh đầu tư xây dựng các dự án xử lý CTR sinh hoạt theo hình thức PPP, phù hợp với điều kiện kinh tế - xã hội của từng địa phương”. </w:t>
      </w:r>
    </w:p>
    <w:p w14:paraId="49135E00" w14:textId="77777777" w:rsidR="00870221" w:rsidRPr="001F78F6" w:rsidRDefault="00870221" w:rsidP="00870221">
      <w:pPr>
        <w:spacing w:before="120" w:after="80"/>
        <w:ind w:firstLine="720"/>
        <w:jc w:val="both"/>
        <w:rPr>
          <w:lang w:val="sv-SE"/>
        </w:rPr>
      </w:pPr>
      <w:r w:rsidRPr="001F78F6">
        <w:rPr>
          <w:lang w:val="sv-SE"/>
        </w:rPr>
        <w:t>d. Kết luận số 1122/KL-UBKHCNMT15 ngày 30/12/2022 của Ủy ban Khoa học, Công nghệ và Môi trường:</w:t>
      </w:r>
    </w:p>
    <w:p w14:paraId="0709F341" w14:textId="77777777" w:rsidR="00870221" w:rsidRPr="001F78F6" w:rsidRDefault="00870221" w:rsidP="00870221">
      <w:pPr>
        <w:spacing w:before="120" w:after="80"/>
        <w:ind w:firstLine="720"/>
        <w:jc w:val="both"/>
        <w:rPr>
          <w:lang w:val="sv-SE"/>
        </w:rPr>
      </w:pPr>
      <w:r w:rsidRPr="001F78F6">
        <w:rPr>
          <w:lang w:val="sv-SE"/>
        </w:rPr>
        <w:t>Giao Bộ Tài nguyên và Môi trường nghiên cứu, xây dựng hướng dẫn chi tiết các nội dung trong hoạt động đầu tư theo phương thức đối tác công tư trong lĩnh vực xử lý chất thải rắn sinh hoạt.</w:t>
      </w:r>
    </w:p>
    <w:p w14:paraId="74C3AA0C" w14:textId="3696A642" w:rsidR="00870221" w:rsidRPr="001F78F6" w:rsidRDefault="00870221" w:rsidP="00870221">
      <w:pPr>
        <w:spacing w:before="120" w:after="80"/>
        <w:ind w:firstLine="720"/>
        <w:jc w:val="both"/>
        <w:rPr>
          <w:b/>
          <w:bCs/>
          <w:i/>
          <w:iCs/>
          <w:lang w:val="sv-SE"/>
        </w:rPr>
      </w:pPr>
      <w:r w:rsidRPr="001F78F6">
        <w:rPr>
          <w:b/>
          <w:bCs/>
          <w:i/>
          <w:iCs/>
          <w:lang w:val="sv-SE"/>
        </w:rPr>
        <w:t>1.</w:t>
      </w:r>
      <w:r w:rsidR="00B64C04" w:rsidRPr="001F78F6">
        <w:rPr>
          <w:b/>
          <w:bCs/>
          <w:i/>
          <w:iCs/>
          <w:lang w:val="sv-SE"/>
        </w:rPr>
        <w:t>3</w:t>
      </w:r>
      <w:r w:rsidRPr="001F78F6">
        <w:rPr>
          <w:b/>
          <w:bCs/>
          <w:i/>
          <w:iCs/>
          <w:lang w:val="sv-SE"/>
        </w:rPr>
        <w:t xml:space="preserve">. </w:t>
      </w:r>
      <w:r w:rsidR="00B64C04" w:rsidRPr="001F78F6">
        <w:rPr>
          <w:b/>
          <w:bCs/>
          <w:i/>
          <w:iCs/>
          <w:lang w:val="sv-SE"/>
        </w:rPr>
        <w:t>Mục đích</w:t>
      </w:r>
      <w:r w:rsidRPr="001F78F6">
        <w:rPr>
          <w:b/>
          <w:bCs/>
          <w:i/>
          <w:iCs/>
          <w:lang w:val="sv-SE"/>
        </w:rPr>
        <w:t>:</w:t>
      </w:r>
    </w:p>
    <w:p w14:paraId="77737D53" w14:textId="20D1CFA5" w:rsidR="001F78F6" w:rsidRPr="001F78F6" w:rsidRDefault="001F78F6" w:rsidP="001F78F6">
      <w:pPr>
        <w:widowControl w:val="0"/>
        <w:spacing w:before="120" w:after="120" w:line="360" w:lineRule="exact"/>
        <w:ind w:firstLine="851"/>
        <w:jc w:val="both"/>
        <w:rPr>
          <w:bCs/>
          <w:spacing w:val="-4"/>
          <w:lang w:val="pt-BR"/>
        </w:rPr>
      </w:pPr>
      <w:r w:rsidRPr="001F78F6">
        <w:rPr>
          <w:spacing w:val="-4"/>
          <w:lang w:val="it-IT"/>
        </w:rPr>
        <w:t>Để bảo đảm thi hành</w:t>
      </w:r>
      <w:r w:rsidR="00A463CE">
        <w:rPr>
          <w:spacing w:val="-4"/>
          <w:lang w:val="it-IT"/>
        </w:rPr>
        <w:t xml:space="preserve"> </w:t>
      </w:r>
      <w:r w:rsidR="00A463CE" w:rsidRPr="00A463CE">
        <w:rPr>
          <w:spacing w:val="-4"/>
          <w:lang w:val="it-IT"/>
        </w:rPr>
        <w:t>Luật Đầu tư theo phương thức đối tác công tư</w:t>
      </w:r>
      <w:r w:rsidRPr="001F78F6">
        <w:rPr>
          <w:spacing w:val="-4"/>
          <w:lang w:val="it-IT"/>
        </w:rPr>
        <w:t xml:space="preserve">, </w:t>
      </w:r>
      <w:r w:rsidR="00A463CE" w:rsidRPr="001F78F6">
        <w:rPr>
          <w:spacing w:val="-4"/>
          <w:lang w:val="it-IT"/>
        </w:rPr>
        <w:t>Luật Ban hành văn bản quy phạm pháp luật</w:t>
      </w:r>
      <w:r w:rsidR="00A463CE">
        <w:rPr>
          <w:spacing w:val="-4"/>
          <w:lang w:val="it-IT"/>
        </w:rPr>
        <w:t>,</w:t>
      </w:r>
      <w:r w:rsidR="00A463CE" w:rsidRPr="001F78F6">
        <w:rPr>
          <w:spacing w:val="-4"/>
          <w:lang w:val="it-IT"/>
        </w:rPr>
        <w:t xml:space="preserve"> </w:t>
      </w:r>
      <w:r w:rsidRPr="001F78F6">
        <w:rPr>
          <w:spacing w:val="-4"/>
          <w:lang w:val="it-IT"/>
        </w:rPr>
        <w:t xml:space="preserve">Nghị định số </w:t>
      </w:r>
      <w:r w:rsidR="00A463CE" w:rsidRPr="00A463CE">
        <w:rPr>
          <w:spacing w:val="-4"/>
          <w:lang w:val="it-IT"/>
        </w:rPr>
        <w:t xml:space="preserve">Nghị định số 35/2021/NĐ-CP ngày </w:t>
      </w:r>
      <w:r w:rsidR="00A463CE" w:rsidRPr="00A463CE">
        <w:rPr>
          <w:spacing w:val="-4"/>
          <w:lang w:val="it-IT"/>
        </w:rPr>
        <w:lastRenderedPageBreak/>
        <w:t xml:space="preserve">29/3/2021 của Chính phủ </w:t>
      </w:r>
      <w:r w:rsidR="005665B3">
        <w:rPr>
          <w:spacing w:val="-4"/>
          <w:lang w:val="it-IT"/>
        </w:rPr>
        <w:t>(</w:t>
      </w:r>
      <w:r w:rsidR="005665B3">
        <w:rPr>
          <w:lang w:val="sv-SE"/>
        </w:rPr>
        <w:t xml:space="preserve">được sửa đổi, bổ sung tại </w:t>
      </w:r>
      <w:r w:rsidR="005665B3" w:rsidRPr="00D72B25">
        <w:rPr>
          <w:lang w:val="sv-SE"/>
        </w:rPr>
        <w:t>Nghị định số 71/2025/NĐ-CP</w:t>
      </w:r>
      <w:r w:rsidR="005665B3">
        <w:rPr>
          <w:spacing w:val="-4"/>
          <w:lang w:val="it-IT"/>
        </w:rPr>
        <w:t xml:space="preserve">) </w:t>
      </w:r>
      <w:r w:rsidRPr="001F78F6">
        <w:rPr>
          <w:spacing w:val="-4"/>
          <w:lang w:val="it-IT"/>
        </w:rPr>
        <w:t xml:space="preserve">và thực hiện chức năng, nhiệm vụ quản lý nhà nước về </w:t>
      </w:r>
      <w:r w:rsidR="00A463CE">
        <w:rPr>
          <w:spacing w:val="-4"/>
          <w:lang w:val="it-IT"/>
        </w:rPr>
        <w:t>quản lý chất thải rắn sinh hoạt</w:t>
      </w:r>
      <w:r w:rsidRPr="001F78F6">
        <w:rPr>
          <w:spacing w:val="-4"/>
          <w:lang w:val="it-IT"/>
        </w:rPr>
        <w:t xml:space="preserve">, Bộ </w:t>
      </w:r>
      <w:r w:rsidR="00A463CE">
        <w:rPr>
          <w:spacing w:val="-4"/>
          <w:lang w:val="it-IT"/>
        </w:rPr>
        <w:t>Tài nguyên và Môi trường</w:t>
      </w:r>
      <w:r w:rsidRPr="001F78F6">
        <w:rPr>
          <w:spacing w:val="-4"/>
          <w:lang w:val="it-IT"/>
        </w:rPr>
        <w:t xml:space="preserve"> cần </w:t>
      </w:r>
      <w:r w:rsidR="00A463CE" w:rsidRPr="00A463CE">
        <w:rPr>
          <w:spacing w:val="-4"/>
          <w:lang w:val="it-IT"/>
        </w:rPr>
        <w:t>ban hành Thông tư Hướng dẫn một số nội dung trong hoạt động đầu tư theo phương thức đối tác công tư lĩnh vực xử lý chất thải rắn sinh hoạt</w:t>
      </w:r>
      <w:r w:rsidRPr="001F78F6">
        <w:rPr>
          <w:spacing w:val="-4"/>
          <w:lang w:val="pt-BR"/>
        </w:rPr>
        <w:t xml:space="preserve"> để </w:t>
      </w:r>
      <w:r w:rsidRPr="001F78F6">
        <w:rPr>
          <w:bCs/>
          <w:spacing w:val="-4"/>
          <w:lang w:val="pt-BR"/>
        </w:rPr>
        <w:t xml:space="preserve">bảo đảm áp dụng thống nhất, tạo thuận lợi cho cơ quan có thẩm quyền, </w:t>
      </w:r>
      <w:r w:rsidR="00A463CE">
        <w:rPr>
          <w:bCs/>
          <w:spacing w:val="-4"/>
          <w:lang w:val="pt-BR"/>
        </w:rPr>
        <w:t>các tổ chức, cá nhân tham gia xây dựng, triển khai dự án, cơ sở xử lý chất thải rắn sinh hoạt</w:t>
      </w:r>
      <w:r w:rsidRPr="001F78F6">
        <w:rPr>
          <w:bCs/>
          <w:spacing w:val="-4"/>
          <w:lang w:val="pt-BR"/>
        </w:rPr>
        <w:t>.</w:t>
      </w:r>
    </w:p>
    <w:p w14:paraId="0C376754" w14:textId="64938047" w:rsidR="00016795" w:rsidRPr="001F78F6" w:rsidRDefault="00016795" w:rsidP="00536E93">
      <w:pPr>
        <w:pStyle w:val="Heading1"/>
        <w:spacing w:after="0" w:line="240" w:lineRule="auto"/>
        <w:rPr>
          <w:rFonts w:cs="Times New Roman"/>
          <w:sz w:val="28"/>
          <w:szCs w:val="28"/>
        </w:rPr>
      </w:pPr>
      <w:r w:rsidRPr="001F78F6">
        <w:rPr>
          <w:rFonts w:cs="Times New Roman"/>
          <w:sz w:val="28"/>
          <w:szCs w:val="28"/>
        </w:rPr>
        <w:t xml:space="preserve">II. QUÁ TRÌNH XÂY DỰNG </w:t>
      </w:r>
      <w:bookmarkStart w:id="1" w:name="_Hlk75291004"/>
      <w:r w:rsidRPr="001F78F6">
        <w:rPr>
          <w:rFonts w:cs="Times New Roman"/>
          <w:sz w:val="28"/>
          <w:szCs w:val="28"/>
        </w:rPr>
        <w:t xml:space="preserve">DỰ THẢO </w:t>
      </w:r>
      <w:r w:rsidR="00F16BF9" w:rsidRPr="001F78F6">
        <w:rPr>
          <w:rFonts w:cs="Times New Roman"/>
          <w:sz w:val="28"/>
          <w:szCs w:val="28"/>
        </w:rPr>
        <w:t>THÔNG TƯ</w:t>
      </w:r>
      <w:bookmarkEnd w:id="1"/>
    </w:p>
    <w:p w14:paraId="3606B0B4" w14:textId="2803B962" w:rsidR="00472C45" w:rsidRDefault="00472C45" w:rsidP="00536E93">
      <w:pPr>
        <w:widowControl w:val="0"/>
        <w:spacing w:before="120"/>
        <w:ind w:firstLine="720"/>
        <w:jc w:val="both"/>
        <w:rPr>
          <w:rFonts w:cs="Times New Roman"/>
          <w:bCs/>
          <w:spacing w:val="-2"/>
        </w:rPr>
      </w:pPr>
      <w:r>
        <w:rPr>
          <w:rFonts w:cs="Times New Roman"/>
          <w:bCs/>
          <w:spacing w:val="-2"/>
        </w:rPr>
        <w:t xml:space="preserve">- </w:t>
      </w:r>
      <w:r w:rsidRPr="00472C45">
        <w:rPr>
          <w:rFonts w:cs="Times New Roman"/>
          <w:bCs/>
          <w:spacing w:val="-2"/>
        </w:rPr>
        <w:t>Ngày 20 tháng 9 năm 2024,</w:t>
      </w:r>
      <w:r>
        <w:rPr>
          <w:rFonts w:cs="Times New Roman"/>
          <w:bCs/>
          <w:spacing w:val="-2"/>
        </w:rPr>
        <w:t xml:space="preserve"> Bộ Tài nguyên và Môi trường đã có Văn bản 6454/BTNMT-KSONMT gửi các Bộ, ngành và đơn vị liên quan đề nghị cử đại diện tham gia </w:t>
      </w:r>
      <w:r w:rsidRPr="001F78F6">
        <w:rPr>
          <w:rFonts w:cs="Times New Roman"/>
          <w:bCs/>
          <w:spacing w:val="-2"/>
        </w:rPr>
        <w:t xml:space="preserve">Tổ soạn thảo </w:t>
      </w:r>
      <w:r w:rsidRPr="00A463CE">
        <w:rPr>
          <w:rFonts w:cs="Times New Roman"/>
          <w:bCs/>
          <w:spacing w:val="-2"/>
        </w:rPr>
        <w:t>Thông tư hướng dẫn một số nội dung trong hoạt động đầu tư theo phương thức đối tác công tư lĩnh vực xử lý chất thải rắn sinh hoạt</w:t>
      </w:r>
      <w:r w:rsidRPr="001F78F6">
        <w:rPr>
          <w:rFonts w:cs="Times New Roman"/>
          <w:bCs/>
          <w:spacing w:val="-2"/>
        </w:rPr>
        <w:t>.</w:t>
      </w:r>
      <w:r>
        <w:rPr>
          <w:rFonts w:cs="Times New Roman"/>
          <w:bCs/>
          <w:spacing w:val="-2"/>
        </w:rPr>
        <w:t xml:space="preserve"> </w:t>
      </w:r>
    </w:p>
    <w:p w14:paraId="1ABE5788" w14:textId="77777777" w:rsidR="00F31D27" w:rsidRDefault="00F31D27" w:rsidP="00F31D27">
      <w:pPr>
        <w:widowControl w:val="0"/>
        <w:spacing w:before="120"/>
        <w:ind w:firstLine="720"/>
        <w:jc w:val="both"/>
        <w:rPr>
          <w:rFonts w:cs="Times New Roman"/>
          <w:bCs/>
          <w:spacing w:val="-2"/>
        </w:rPr>
      </w:pPr>
      <w:r w:rsidRPr="001F78F6">
        <w:rPr>
          <w:rFonts w:cs="Times New Roman"/>
          <w:bCs/>
          <w:spacing w:val="-2"/>
        </w:rPr>
        <w:t>- Ngày</w:t>
      </w:r>
      <w:r>
        <w:rPr>
          <w:rFonts w:cs="Times New Roman"/>
          <w:bCs/>
          <w:spacing w:val="-2"/>
        </w:rPr>
        <w:t xml:space="preserve"> 20 tháng 9 năm 2024</w:t>
      </w:r>
      <w:r w:rsidRPr="001F78F6">
        <w:rPr>
          <w:rFonts w:cs="Times New Roman"/>
          <w:bCs/>
          <w:spacing w:val="-2"/>
        </w:rPr>
        <w:t xml:space="preserve">, </w:t>
      </w:r>
      <w:r>
        <w:rPr>
          <w:rFonts w:cs="Times New Roman"/>
          <w:bCs/>
          <w:spacing w:val="-2"/>
        </w:rPr>
        <w:t>Bộ Tài nguyên và Môi trường đã ban hành</w:t>
      </w:r>
      <w:r w:rsidRPr="001F78F6">
        <w:rPr>
          <w:rFonts w:cs="Times New Roman"/>
          <w:bCs/>
          <w:spacing w:val="-2"/>
        </w:rPr>
        <w:t xml:space="preserve"> Quyết định số </w:t>
      </w:r>
      <w:r>
        <w:rPr>
          <w:rFonts w:cs="Times New Roman"/>
          <w:bCs/>
          <w:spacing w:val="-2"/>
        </w:rPr>
        <w:t>3036</w:t>
      </w:r>
      <w:r w:rsidRPr="001F78F6">
        <w:rPr>
          <w:rFonts w:cs="Times New Roman"/>
          <w:bCs/>
          <w:spacing w:val="-2"/>
        </w:rPr>
        <w:t xml:space="preserve">/QĐ-BTNMT thành lập Tổ soạn thảo </w:t>
      </w:r>
      <w:r w:rsidRPr="00A463CE">
        <w:rPr>
          <w:rFonts w:cs="Times New Roman"/>
          <w:bCs/>
          <w:spacing w:val="-2"/>
        </w:rPr>
        <w:t>Thông tư hướng dẫn một số nội dung trong hoạt động đầu tư theo phương thức đối tác công tư lĩnh vực xử lý chất thải rắn sinh hoạt</w:t>
      </w:r>
      <w:r w:rsidRPr="001F78F6">
        <w:rPr>
          <w:rFonts w:cs="Times New Roman"/>
          <w:bCs/>
          <w:spacing w:val="-2"/>
        </w:rPr>
        <w:t>.</w:t>
      </w:r>
    </w:p>
    <w:p w14:paraId="314400DE" w14:textId="1330BEF2" w:rsidR="000A6734" w:rsidRDefault="00A463CE" w:rsidP="00536E93">
      <w:pPr>
        <w:widowControl w:val="0"/>
        <w:spacing w:before="120"/>
        <w:ind w:firstLine="720"/>
        <w:jc w:val="both"/>
        <w:rPr>
          <w:rFonts w:cs="Times New Roman"/>
          <w:bCs/>
        </w:rPr>
      </w:pPr>
      <w:r w:rsidRPr="001F78F6">
        <w:rPr>
          <w:rFonts w:cs="Times New Roman"/>
          <w:bCs/>
          <w:spacing w:val="-2"/>
        </w:rPr>
        <w:t>- Ngày</w:t>
      </w:r>
      <w:r w:rsidR="00F31D27">
        <w:rPr>
          <w:rFonts w:cs="Times New Roman"/>
          <w:bCs/>
          <w:spacing w:val="-2"/>
        </w:rPr>
        <w:t xml:space="preserve"> </w:t>
      </w:r>
      <w:r w:rsidR="00472C45">
        <w:rPr>
          <w:rFonts w:cs="Times New Roman"/>
          <w:bCs/>
          <w:spacing w:val="-2"/>
        </w:rPr>
        <w:t xml:space="preserve">07 </w:t>
      </w:r>
      <w:r>
        <w:rPr>
          <w:rFonts w:cs="Times New Roman"/>
          <w:bCs/>
          <w:spacing w:val="-2"/>
        </w:rPr>
        <w:t>tháng</w:t>
      </w:r>
      <w:r w:rsidR="00472C45">
        <w:rPr>
          <w:rFonts w:cs="Times New Roman"/>
          <w:bCs/>
          <w:spacing w:val="-2"/>
        </w:rPr>
        <w:t xml:space="preserve"> 11 </w:t>
      </w:r>
      <w:r>
        <w:rPr>
          <w:rFonts w:cs="Times New Roman"/>
          <w:bCs/>
          <w:spacing w:val="-2"/>
        </w:rPr>
        <w:t>năm 2024</w:t>
      </w:r>
      <w:r w:rsidR="000A6734" w:rsidRPr="001F78F6">
        <w:rPr>
          <w:rFonts w:cs="Times New Roman"/>
          <w:bCs/>
        </w:rPr>
        <w:t>, Cục Kiểm soát ô nhiễm môi trường phối hợp với các đơn vị có liên quan tổ chức</w:t>
      </w:r>
      <w:r w:rsidR="00472C45">
        <w:rPr>
          <w:rFonts w:cs="Times New Roman"/>
          <w:bCs/>
        </w:rPr>
        <w:t xml:space="preserve"> </w:t>
      </w:r>
      <w:r w:rsidR="000A6734" w:rsidRPr="001F78F6">
        <w:rPr>
          <w:rFonts w:cs="Times New Roman"/>
          <w:bCs/>
        </w:rPr>
        <w:t>họp</w:t>
      </w:r>
      <w:r w:rsidR="00472C45">
        <w:rPr>
          <w:rFonts w:cs="Times New Roman"/>
          <w:bCs/>
        </w:rPr>
        <w:t xml:space="preserve"> (lần 1)</w:t>
      </w:r>
      <w:r w:rsidR="000A6734" w:rsidRPr="001F78F6">
        <w:rPr>
          <w:rFonts w:cs="Times New Roman"/>
          <w:bCs/>
        </w:rPr>
        <w:t xml:space="preserve"> Tổ soạn thảo</w:t>
      </w:r>
      <w:r w:rsidR="00472C45">
        <w:rPr>
          <w:rFonts w:cs="Times New Roman"/>
          <w:bCs/>
        </w:rPr>
        <w:t xml:space="preserve"> </w:t>
      </w:r>
      <w:r w:rsidRPr="00A463CE">
        <w:rPr>
          <w:rFonts w:cs="Times New Roman"/>
          <w:bCs/>
        </w:rPr>
        <w:t>Thông tư hướng dẫn một số nội dung trong hoạt động đầu tư theo phương thức đối tác công tư lĩnh vực xử lý chất thải rắn sinh hoạt</w:t>
      </w:r>
      <w:r>
        <w:rPr>
          <w:rFonts w:cs="Times New Roman"/>
          <w:bCs/>
        </w:rPr>
        <w:t xml:space="preserve"> (sau đây gọi là dự thảo Thông tư)</w:t>
      </w:r>
      <w:r w:rsidR="000A6734" w:rsidRPr="001F78F6">
        <w:rPr>
          <w:rFonts w:cs="Times New Roman"/>
          <w:bCs/>
        </w:rPr>
        <w:t>.</w:t>
      </w:r>
    </w:p>
    <w:p w14:paraId="26938335" w14:textId="1553595E" w:rsidR="006160FC" w:rsidRPr="001F78F6" w:rsidRDefault="006160FC" w:rsidP="006160FC">
      <w:pPr>
        <w:widowControl w:val="0"/>
        <w:spacing w:before="120"/>
        <w:ind w:firstLine="720"/>
        <w:jc w:val="both"/>
        <w:rPr>
          <w:rFonts w:cs="Times New Roman"/>
          <w:bCs/>
        </w:rPr>
      </w:pPr>
      <w:r w:rsidRPr="001F78F6">
        <w:rPr>
          <w:rFonts w:cs="Times New Roman"/>
          <w:bCs/>
          <w:spacing w:val="-2"/>
        </w:rPr>
        <w:t>- Ngày</w:t>
      </w:r>
      <w:r>
        <w:rPr>
          <w:rFonts w:cs="Times New Roman"/>
          <w:bCs/>
          <w:spacing w:val="-2"/>
        </w:rPr>
        <w:t xml:space="preserve"> 24 tháng 01 năm 2025</w:t>
      </w:r>
      <w:r w:rsidRPr="001F78F6">
        <w:rPr>
          <w:rFonts w:cs="Times New Roman"/>
          <w:bCs/>
        </w:rPr>
        <w:t xml:space="preserve">, Cục Kiểm soát ô nhiễm môi trường </w:t>
      </w:r>
      <w:r>
        <w:rPr>
          <w:rFonts w:cs="Times New Roman"/>
          <w:bCs/>
        </w:rPr>
        <w:t xml:space="preserve">đã có Công văn số 360/KSONMT-CTRSH gửi các đơn vị trực thuộc Bộ </w:t>
      </w:r>
      <w:r w:rsidRPr="006160FC">
        <w:rPr>
          <w:rFonts w:cs="Times New Roman"/>
          <w:bCs/>
        </w:rPr>
        <w:t>xin ý kiến đối với dự thảo Thông tư</w:t>
      </w:r>
      <w:r>
        <w:rPr>
          <w:rFonts w:cs="Times New Roman"/>
          <w:bCs/>
        </w:rPr>
        <w:t>; Công văn số 361</w:t>
      </w:r>
      <w:r w:rsidRPr="006160FC">
        <w:rPr>
          <w:rFonts w:cs="Times New Roman"/>
          <w:bCs/>
        </w:rPr>
        <w:t>/KSONMT-CTRSH gửi</w:t>
      </w:r>
      <w:r>
        <w:rPr>
          <w:rFonts w:cs="Times New Roman"/>
          <w:bCs/>
        </w:rPr>
        <w:t xml:space="preserve"> Văn phòng Bộ đề nghị đăng tải lấy ý kiến góp ý dự thảo Thông tư.</w:t>
      </w:r>
    </w:p>
    <w:p w14:paraId="392EBA75" w14:textId="64779361" w:rsidR="000C648D" w:rsidRDefault="00A463CE" w:rsidP="00536E93">
      <w:pPr>
        <w:widowControl w:val="0"/>
        <w:spacing w:before="120"/>
        <w:ind w:firstLine="720"/>
        <w:jc w:val="both"/>
        <w:rPr>
          <w:rFonts w:cs="Times New Roman"/>
          <w:bCs/>
        </w:rPr>
      </w:pPr>
      <w:r w:rsidRPr="001F78F6">
        <w:rPr>
          <w:rFonts w:cs="Times New Roman"/>
          <w:bCs/>
          <w:spacing w:val="-2"/>
        </w:rPr>
        <w:t>- Ngày</w:t>
      </w:r>
      <w:r w:rsidR="00386D3C">
        <w:rPr>
          <w:rFonts w:cs="Times New Roman"/>
          <w:bCs/>
          <w:spacing w:val="-2"/>
        </w:rPr>
        <w:t xml:space="preserve"> 10 </w:t>
      </w:r>
      <w:r>
        <w:rPr>
          <w:rFonts w:cs="Times New Roman"/>
          <w:bCs/>
          <w:spacing w:val="-2"/>
        </w:rPr>
        <w:t>tháng</w:t>
      </w:r>
      <w:r w:rsidR="00386D3C">
        <w:rPr>
          <w:rFonts w:cs="Times New Roman"/>
          <w:bCs/>
          <w:spacing w:val="-2"/>
        </w:rPr>
        <w:t xml:space="preserve"> 02 </w:t>
      </w:r>
      <w:r>
        <w:rPr>
          <w:rFonts w:cs="Times New Roman"/>
          <w:bCs/>
          <w:spacing w:val="-2"/>
        </w:rPr>
        <w:t>năm 202</w:t>
      </w:r>
      <w:r w:rsidR="00386D3C">
        <w:rPr>
          <w:rFonts w:cs="Times New Roman"/>
          <w:bCs/>
          <w:spacing w:val="-2"/>
        </w:rPr>
        <w:t>5</w:t>
      </w:r>
      <w:r w:rsidR="000C648D" w:rsidRPr="00536E93">
        <w:rPr>
          <w:rFonts w:cs="Times New Roman"/>
          <w:bCs/>
        </w:rPr>
        <w:t xml:space="preserve">, Bộ Tài nguyên và Môi trường đã có Công văn số </w:t>
      </w:r>
      <w:r w:rsidR="00386D3C">
        <w:rPr>
          <w:rFonts w:cs="Times New Roman"/>
          <w:bCs/>
        </w:rPr>
        <w:t>834</w:t>
      </w:r>
      <w:r w:rsidR="000C648D" w:rsidRPr="00536E93">
        <w:rPr>
          <w:rFonts w:cs="Times New Roman"/>
          <w:bCs/>
        </w:rPr>
        <w:t xml:space="preserve">/BTNMT-KSONMT gửi các cơ quan, đơn vị đề nghị góp ý kiến Dự thảo Thông tư và gửi Cổng thông tin điện tử của Chính phủ </w:t>
      </w:r>
      <w:r w:rsidR="00386D3C">
        <w:rPr>
          <w:rFonts w:cs="Times New Roman"/>
          <w:bCs/>
        </w:rPr>
        <w:t>(</w:t>
      </w:r>
      <w:r w:rsidR="00386D3C" w:rsidRPr="00536E93">
        <w:rPr>
          <w:rFonts w:cs="Times New Roman"/>
          <w:bCs/>
        </w:rPr>
        <w:t xml:space="preserve">Công văn số </w:t>
      </w:r>
      <w:r w:rsidR="00386D3C">
        <w:rPr>
          <w:rFonts w:cs="Times New Roman"/>
          <w:bCs/>
        </w:rPr>
        <w:t>835</w:t>
      </w:r>
      <w:r w:rsidR="00386D3C" w:rsidRPr="00536E93">
        <w:rPr>
          <w:rFonts w:cs="Times New Roman"/>
          <w:bCs/>
        </w:rPr>
        <w:t>/BTNMT-KSONMT</w:t>
      </w:r>
      <w:r w:rsidR="00386D3C">
        <w:rPr>
          <w:rFonts w:cs="Times New Roman"/>
          <w:bCs/>
        </w:rPr>
        <w:t xml:space="preserve">) </w:t>
      </w:r>
      <w:r w:rsidR="000C648D" w:rsidRPr="00536E93">
        <w:rPr>
          <w:rFonts w:cs="Times New Roman"/>
          <w:bCs/>
        </w:rPr>
        <w:t>đề nghị đăng dự thảo Thông tư, đồng thời bản dự thảo Thông tư cũng được đăng trên công thông tin điện tử của Bộ Tài nguyên và Môi trường theo quy định của pháp luật về ban hành văn bản quy phạm pháp luật.</w:t>
      </w:r>
    </w:p>
    <w:p w14:paraId="5147D8F9" w14:textId="06812656" w:rsidR="004454F8" w:rsidRPr="00536E93" w:rsidRDefault="004454F8" w:rsidP="00536E93">
      <w:pPr>
        <w:widowControl w:val="0"/>
        <w:spacing w:before="120"/>
        <w:ind w:firstLine="720"/>
        <w:jc w:val="both"/>
        <w:rPr>
          <w:rFonts w:cs="Times New Roman"/>
          <w:bCs/>
        </w:rPr>
      </w:pPr>
      <w:r w:rsidRPr="004454F8">
        <w:rPr>
          <w:rFonts w:cs="Times New Roman"/>
          <w:bCs/>
        </w:rPr>
        <w:t>- Hội thảo góp ý kiến cho dự thảo Thông tư tại TP. Hồ Chí Minh ngày 18/02/2025 (xin ý kiến các tỉnh khu vực miền Nam); tại Hà Nội ngày 20/02/2025 (xin ý kiến các tỉnh khu vực miền Bắc).</w:t>
      </w:r>
    </w:p>
    <w:p w14:paraId="205064FF" w14:textId="6AD65575" w:rsidR="000C648D" w:rsidRPr="00536E93" w:rsidRDefault="00A463CE" w:rsidP="00536E93">
      <w:pPr>
        <w:widowControl w:val="0"/>
        <w:spacing w:before="120"/>
        <w:ind w:firstLine="720"/>
        <w:jc w:val="both"/>
        <w:rPr>
          <w:rFonts w:cs="Times New Roman"/>
          <w:bCs/>
        </w:rPr>
      </w:pPr>
      <w:r w:rsidRPr="001F78F6">
        <w:rPr>
          <w:rFonts w:cs="Times New Roman"/>
          <w:bCs/>
          <w:spacing w:val="-2"/>
        </w:rPr>
        <w:t>- Ngày</w:t>
      </w:r>
      <w:r w:rsidR="00386D3C">
        <w:rPr>
          <w:rFonts w:cs="Times New Roman"/>
          <w:bCs/>
          <w:spacing w:val="-2"/>
        </w:rPr>
        <w:t xml:space="preserve"> 24 </w:t>
      </w:r>
      <w:r>
        <w:rPr>
          <w:rFonts w:cs="Times New Roman"/>
          <w:bCs/>
          <w:spacing w:val="-2"/>
        </w:rPr>
        <w:t>tháng</w:t>
      </w:r>
      <w:r w:rsidR="00386D3C">
        <w:rPr>
          <w:rFonts w:cs="Times New Roman"/>
          <w:bCs/>
          <w:spacing w:val="-2"/>
        </w:rPr>
        <w:t xml:space="preserve"> 3 </w:t>
      </w:r>
      <w:r>
        <w:rPr>
          <w:rFonts w:cs="Times New Roman"/>
          <w:bCs/>
          <w:spacing w:val="-2"/>
        </w:rPr>
        <w:t>năm 2024</w:t>
      </w:r>
      <w:r w:rsidRPr="00536E93">
        <w:rPr>
          <w:rFonts w:cs="Times New Roman"/>
          <w:bCs/>
        </w:rPr>
        <w:t>,</w:t>
      </w:r>
      <w:r w:rsidR="000C648D" w:rsidRPr="00536E93">
        <w:rPr>
          <w:rFonts w:cs="Times New Roman"/>
          <w:bCs/>
        </w:rPr>
        <w:t xml:space="preserve"> Bộ </w:t>
      </w:r>
      <w:r w:rsidR="00386D3C">
        <w:rPr>
          <w:rFonts w:cs="Times New Roman"/>
          <w:bCs/>
        </w:rPr>
        <w:t>Nông nghiệp</w:t>
      </w:r>
      <w:r w:rsidR="000C648D" w:rsidRPr="00536E93">
        <w:rPr>
          <w:rFonts w:cs="Times New Roman"/>
          <w:bCs/>
        </w:rPr>
        <w:t xml:space="preserve"> và Môi trường đã có Công văn số </w:t>
      </w:r>
      <w:r w:rsidR="00386D3C">
        <w:rPr>
          <w:rFonts w:cs="Times New Roman"/>
          <w:bCs/>
        </w:rPr>
        <w:t>363</w:t>
      </w:r>
      <w:r w:rsidR="000C648D" w:rsidRPr="00536E93">
        <w:rPr>
          <w:rFonts w:cs="Times New Roman"/>
          <w:bCs/>
        </w:rPr>
        <w:t>/B</w:t>
      </w:r>
      <w:r w:rsidR="00386D3C">
        <w:rPr>
          <w:rFonts w:cs="Times New Roman"/>
          <w:bCs/>
        </w:rPr>
        <w:t>N</w:t>
      </w:r>
      <w:r w:rsidR="000C648D" w:rsidRPr="00536E93">
        <w:rPr>
          <w:rFonts w:cs="Times New Roman"/>
          <w:bCs/>
        </w:rPr>
        <w:t>NMT-MT đôn đốc các cơ quan, đơn vị tiếp tục góp ý kiến cho Dự thảo Thông tư.</w:t>
      </w:r>
      <w:r w:rsidR="006D1515" w:rsidRPr="00536E93">
        <w:rPr>
          <w:rFonts w:cs="Times New Roman"/>
          <w:bCs/>
        </w:rPr>
        <w:t xml:space="preserve"> </w:t>
      </w:r>
    </w:p>
    <w:p w14:paraId="1D995B0A" w14:textId="73C08837" w:rsidR="00FD4B5A" w:rsidRPr="00A463CE" w:rsidRDefault="00A463CE" w:rsidP="00536E93">
      <w:pPr>
        <w:widowControl w:val="0"/>
        <w:spacing w:before="120"/>
        <w:ind w:firstLine="720"/>
        <w:jc w:val="both"/>
        <w:rPr>
          <w:rFonts w:cs="Times New Roman"/>
          <w:bCs/>
        </w:rPr>
      </w:pPr>
      <w:r w:rsidRPr="001F78F6">
        <w:rPr>
          <w:rFonts w:cs="Times New Roman"/>
          <w:bCs/>
          <w:spacing w:val="-2"/>
        </w:rPr>
        <w:t>- Ngày</w:t>
      </w:r>
      <w:r w:rsidR="00386D3C">
        <w:rPr>
          <w:rFonts w:cs="Times New Roman"/>
          <w:bCs/>
          <w:spacing w:val="-2"/>
        </w:rPr>
        <w:t xml:space="preserve">……. </w:t>
      </w:r>
      <w:r>
        <w:rPr>
          <w:rFonts w:cs="Times New Roman"/>
          <w:bCs/>
          <w:spacing w:val="-2"/>
        </w:rPr>
        <w:t xml:space="preserve">tháng………..năm </w:t>
      </w:r>
      <w:r w:rsidRPr="00A463CE">
        <w:rPr>
          <w:rFonts w:cs="Times New Roman"/>
          <w:bCs/>
          <w:spacing w:val="-2"/>
        </w:rPr>
        <w:t>202</w:t>
      </w:r>
      <w:r w:rsidR="00386D3C">
        <w:rPr>
          <w:rFonts w:cs="Times New Roman"/>
          <w:bCs/>
          <w:spacing w:val="-2"/>
        </w:rPr>
        <w:t>5</w:t>
      </w:r>
      <w:r w:rsidR="00FD4B5A" w:rsidRPr="00A463CE">
        <w:rPr>
          <w:rFonts w:cs="Times New Roman"/>
          <w:bCs/>
        </w:rPr>
        <w:t>, trên cơ sở các ý kiến góp ý của các cơ quan, tổ chức, cá nhân, Cục Môi trường</w:t>
      </w:r>
      <w:r>
        <w:rPr>
          <w:rFonts w:cs="Times New Roman"/>
          <w:bCs/>
        </w:rPr>
        <w:t xml:space="preserve"> đã rà soát,</w:t>
      </w:r>
      <w:r w:rsidR="00FD4B5A" w:rsidRPr="00A463CE">
        <w:rPr>
          <w:rFonts w:cs="Times New Roman"/>
          <w:bCs/>
        </w:rPr>
        <w:t xml:space="preserve"> hoàn thiện dự thảo và gửi Vụ Pháp chế thẩm định tại Công văn số </w:t>
      </w:r>
      <w:r w:rsidR="0066251E" w:rsidRPr="00A463CE">
        <w:rPr>
          <w:rFonts w:cs="Times New Roman"/>
          <w:bCs/>
        </w:rPr>
        <w:t xml:space="preserve">   </w:t>
      </w:r>
      <w:r w:rsidR="00FD4B5A" w:rsidRPr="00A463CE">
        <w:rPr>
          <w:rFonts w:cs="Times New Roman"/>
          <w:bCs/>
        </w:rPr>
        <w:t>/</w:t>
      </w:r>
      <w:r w:rsidR="0066251E" w:rsidRPr="00A463CE">
        <w:rPr>
          <w:rFonts w:cs="Times New Roman"/>
          <w:bCs/>
        </w:rPr>
        <w:t>MT-</w:t>
      </w:r>
      <w:r w:rsidR="00386D3C">
        <w:rPr>
          <w:rFonts w:cs="Times New Roman"/>
          <w:bCs/>
        </w:rPr>
        <w:t>QLCT</w:t>
      </w:r>
      <w:r w:rsidR="00FD4B5A" w:rsidRPr="00A463CE">
        <w:rPr>
          <w:rFonts w:cs="Times New Roman"/>
          <w:bCs/>
        </w:rPr>
        <w:t>.</w:t>
      </w:r>
    </w:p>
    <w:p w14:paraId="44B5894E" w14:textId="131CFE3E" w:rsidR="00BD1292" w:rsidRPr="00A463CE" w:rsidRDefault="00A463CE" w:rsidP="00536E93">
      <w:pPr>
        <w:widowControl w:val="0"/>
        <w:spacing w:before="120"/>
        <w:ind w:firstLine="720"/>
        <w:jc w:val="both"/>
        <w:rPr>
          <w:rFonts w:cs="Times New Roman"/>
          <w:bCs/>
        </w:rPr>
      </w:pPr>
      <w:r w:rsidRPr="00A463CE">
        <w:rPr>
          <w:rFonts w:cs="Times New Roman"/>
          <w:bCs/>
          <w:spacing w:val="-2"/>
        </w:rPr>
        <w:t>- Ngày………tháng………..năm 202</w:t>
      </w:r>
      <w:r w:rsidR="00386D3C">
        <w:rPr>
          <w:rFonts w:cs="Times New Roman"/>
          <w:bCs/>
          <w:spacing w:val="-2"/>
        </w:rPr>
        <w:t>5</w:t>
      </w:r>
      <w:r w:rsidR="0066251E" w:rsidRPr="00A463CE">
        <w:rPr>
          <w:rFonts w:cs="Times New Roman"/>
          <w:bCs/>
        </w:rPr>
        <w:t xml:space="preserve">, Vụ Pháp chế đã có Công văn </w:t>
      </w:r>
      <w:r>
        <w:rPr>
          <w:rFonts w:cs="Times New Roman"/>
          <w:bCs/>
        </w:rPr>
        <w:lastRenderedPageBreak/>
        <w:t xml:space="preserve">số…../PC về việc thẩm định </w:t>
      </w:r>
      <w:r w:rsidR="0066251E" w:rsidRPr="00A463CE">
        <w:rPr>
          <w:rFonts w:cs="Times New Roman"/>
          <w:bCs/>
        </w:rPr>
        <w:t>dự thảo Thông tư.</w:t>
      </w:r>
    </w:p>
    <w:p w14:paraId="04720E98" w14:textId="11F3B0AA" w:rsidR="0066251E" w:rsidRPr="00536E93" w:rsidRDefault="00801307" w:rsidP="00536E93">
      <w:pPr>
        <w:widowControl w:val="0"/>
        <w:spacing w:before="120"/>
        <w:ind w:firstLine="720"/>
        <w:jc w:val="both"/>
        <w:rPr>
          <w:rFonts w:cs="Times New Roman"/>
          <w:bCs/>
        </w:rPr>
      </w:pPr>
      <w:r w:rsidRPr="00536E93">
        <w:rPr>
          <w:rFonts w:cs="Times New Roman"/>
          <w:bCs/>
        </w:rPr>
        <w:t xml:space="preserve">Trong quá trình xây dựng và trình ban hành Thông tư, Cục </w:t>
      </w:r>
      <w:r w:rsidR="00386D3C">
        <w:rPr>
          <w:rFonts w:cs="Times New Roman"/>
          <w:bCs/>
        </w:rPr>
        <w:t>M</w:t>
      </w:r>
      <w:r w:rsidRPr="00536E93">
        <w:rPr>
          <w:rFonts w:cs="Times New Roman"/>
          <w:bCs/>
        </w:rPr>
        <w:t xml:space="preserve">ôi trường thường xuyên trao đổi với </w:t>
      </w:r>
      <w:r w:rsidR="00C644BE">
        <w:rPr>
          <w:rFonts w:cs="Times New Roman"/>
          <w:bCs/>
        </w:rPr>
        <w:t xml:space="preserve">các đơn vị liên quan trực thuộc </w:t>
      </w:r>
      <w:r w:rsidR="00386D3C">
        <w:rPr>
          <w:rFonts w:cs="Times New Roman"/>
          <w:bCs/>
        </w:rPr>
        <w:t>Bộ Tài chính (</w:t>
      </w:r>
      <w:r w:rsidR="00C644BE">
        <w:rPr>
          <w:rFonts w:cs="Times New Roman"/>
          <w:bCs/>
        </w:rPr>
        <w:t>Bộ Kế hoạch và Đầu tư</w:t>
      </w:r>
      <w:r w:rsidR="00386D3C">
        <w:rPr>
          <w:rFonts w:cs="Times New Roman"/>
          <w:bCs/>
        </w:rPr>
        <w:t xml:space="preserve"> trước kia)</w:t>
      </w:r>
      <w:r w:rsidR="00C644BE">
        <w:rPr>
          <w:rFonts w:cs="Times New Roman"/>
          <w:bCs/>
        </w:rPr>
        <w:t xml:space="preserve">, Bộ </w:t>
      </w:r>
      <w:r w:rsidR="00386D3C">
        <w:rPr>
          <w:rFonts w:cs="Times New Roman"/>
          <w:bCs/>
        </w:rPr>
        <w:t>Nông nghiệp</w:t>
      </w:r>
      <w:r w:rsidR="00C644BE">
        <w:rPr>
          <w:rFonts w:cs="Times New Roman"/>
          <w:bCs/>
        </w:rPr>
        <w:t xml:space="preserve"> và Môi trường</w:t>
      </w:r>
      <w:r w:rsidRPr="00536E93">
        <w:rPr>
          <w:rFonts w:cs="Times New Roman"/>
          <w:bCs/>
        </w:rPr>
        <w:t xml:space="preserve"> </w:t>
      </w:r>
      <w:r w:rsidR="00C644BE">
        <w:rPr>
          <w:rFonts w:cs="Times New Roman"/>
          <w:bCs/>
        </w:rPr>
        <w:t>để hoàn thiện</w:t>
      </w:r>
      <w:r w:rsidRPr="00536E93">
        <w:rPr>
          <w:rFonts w:cs="Times New Roman"/>
          <w:bCs/>
        </w:rPr>
        <w:t xml:space="preserve"> nội dung đưa vào dự thảo Thông tư; thường xuyên tổ chức các cuộc họp chuyên đề với các đơn vị tham gia soạn thảo Thông tư. </w:t>
      </w:r>
      <w:r w:rsidR="0066251E" w:rsidRPr="00536E93">
        <w:rPr>
          <w:rFonts w:cs="Times New Roman"/>
          <w:bCs/>
        </w:rPr>
        <w:t xml:space="preserve">Trên cơ sở ý kiến thẩm định của Vụ Pháp chế, </w:t>
      </w:r>
      <w:r w:rsidR="00D8422A" w:rsidRPr="00536E93">
        <w:rPr>
          <w:rFonts w:cs="Times New Roman"/>
          <w:bCs/>
        </w:rPr>
        <w:t>Cục Kiểm soát ô nhiễm môi</w:t>
      </w:r>
      <w:r w:rsidR="0066251E" w:rsidRPr="00536E93">
        <w:rPr>
          <w:rFonts w:cs="Times New Roman"/>
          <w:bCs/>
        </w:rPr>
        <w:t xml:space="preserve"> trường đã rà soát, chỉnh sửa và hoàn thiện dự thảo Thông tư.</w:t>
      </w:r>
    </w:p>
    <w:p w14:paraId="4483B7B1" w14:textId="3C87EFB5" w:rsidR="00016795" w:rsidRPr="00536E93" w:rsidRDefault="00016795" w:rsidP="00536E93">
      <w:pPr>
        <w:pStyle w:val="Heading1"/>
        <w:spacing w:after="0" w:line="240" w:lineRule="auto"/>
        <w:rPr>
          <w:rFonts w:cs="Times New Roman"/>
          <w:sz w:val="28"/>
          <w:szCs w:val="28"/>
        </w:rPr>
      </w:pPr>
      <w:r w:rsidRPr="00536E93">
        <w:rPr>
          <w:rFonts w:cs="Times New Roman"/>
          <w:sz w:val="28"/>
          <w:szCs w:val="28"/>
        </w:rPr>
        <w:t>I</w:t>
      </w:r>
      <w:r w:rsidR="009556B9">
        <w:rPr>
          <w:rFonts w:cs="Times New Roman"/>
          <w:sz w:val="28"/>
          <w:szCs w:val="28"/>
        </w:rPr>
        <w:t>II</w:t>
      </w:r>
      <w:r w:rsidRPr="00536E93">
        <w:rPr>
          <w:rFonts w:cs="Times New Roman"/>
          <w:sz w:val="28"/>
          <w:szCs w:val="28"/>
        </w:rPr>
        <w:t xml:space="preserve">. BỐ CỤC VÀ NỘI DUNG CƠ BẢN CỦA </w:t>
      </w:r>
      <w:r w:rsidR="00F16BF9" w:rsidRPr="00536E93">
        <w:rPr>
          <w:rFonts w:cs="Times New Roman"/>
          <w:sz w:val="28"/>
          <w:szCs w:val="28"/>
        </w:rPr>
        <w:t>DỰ THẢO THÔNG TƯ</w:t>
      </w:r>
    </w:p>
    <w:p w14:paraId="6EFC0A44" w14:textId="582C2EBD" w:rsidR="009C2015" w:rsidRPr="004C38FF" w:rsidRDefault="009C2015" w:rsidP="009C2015">
      <w:pPr>
        <w:widowControl w:val="0"/>
        <w:spacing w:before="120"/>
        <w:ind w:firstLine="720"/>
        <w:jc w:val="both"/>
        <w:rPr>
          <w:rFonts w:cs="Times New Roman"/>
          <w:bCs/>
          <w:i/>
          <w:iCs/>
          <w:spacing w:val="-2"/>
        </w:rPr>
      </w:pPr>
      <w:r w:rsidRPr="004C38FF">
        <w:rPr>
          <w:rFonts w:cs="Times New Roman"/>
          <w:bCs/>
          <w:i/>
          <w:iCs/>
          <w:spacing w:val="-2"/>
        </w:rPr>
        <w:t>3.1. Bố cục của dự thảo Thông tư:</w:t>
      </w:r>
    </w:p>
    <w:p w14:paraId="5622C81D" w14:textId="6967754D" w:rsidR="009C2015" w:rsidRPr="004C38FF" w:rsidRDefault="009C2015" w:rsidP="009C2015">
      <w:pPr>
        <w:widowControl w:val="0"/>
        <w:spacing w:before="120"/>
        <w:ind w:firstLine="720"/>
        <w:jc w:val="both"/>
        <w:rPr>
          <w:rFonts w:cs="Times New Roman"/>
          <w:bCs/>
          <w:spacing w:val="-2"/>
        </w:rPr>
      </w:pPr>
      <w:r w:rsidRPr="004C38FF">
        <w:rPr>
          <w:rFonts w:cs="Times New Roman"/>
          <w:bCs/>
          <w:spacing w:val="-2"/>
        </w:rPr>
        <w:t xml:space="preserve">Dự thảo Thông tư có </w:t>
      </w:r>
      <w:r w:rsidR="008A3037">
        <w:rPr>
          <w:rFonts w:cs="Times New Roman"/>
          <w:bCs/>
          <w:spacing w:val="-2"/>
        </w:rPr>
        <w:t>1</w:t>
      </w:r>
      <w:r w:rsidR="00554204">
        <w:rPr>
          <w:rFonts w:cs="Times New Roman"/>
          <w:bCs/>
          <w:spacing w:val="-2"/>
        </w:rPr>
        <w:t>8</w:t>
      </w:r>
      <w:r w:rsidRPr="004C38FF">
        <w:rPr>
          <w:rFonts w:cs="Times New Roman"/>
          <w:bCs/>
          <w:spacing w:val="-2"/>
        </w:rPr>
        <w:t xml:space="preserve"> Điều</w:t>
      </w:r>
      <w:r w:rsidR="00F33D42" w:rsidRPr="004C38FF">
        <w:rPr>
          <w:rFonts w:cs="Times New Roman"/>
          <w:bCs/>
          <w:spacing w:val="-2"/>
        </w:rPr>
        <w:t xml:space="preserve">, phân thành </w:t>
      </w:r>
      <w:r w:rsidR="008A3037">
        <w:rPr>
          <w:rFonts w:cs="Times New Roman"/>
          <w:bCs/>
          <w:spacing w:val="-2"/>
        </w:rPr>
        <w:t>5</w:t>
      </w:r>
      <w:r w:rsidR="00F33D42" w:rsidRPr="004C38FF">
        <w:rPr>
          <w:rFonts w:cs="Times New Roman"/>
          <w:bCs/>
          <w:spacing w:val="-2"/>
        </w:rPr>
        <w:t xml:space="preserve"> chương</w:t>
      </w:r>
      <w:r w:rsidRPr="004C38FF">
        <w:rPr>
          <w:rFonts w:cs="Times New Roman"/>
          <w:bCs/>
          <w:spacing w:val="-2"/>
        </w:rPr>
        <w:t xml:space="preserve"> và 0</w:t>
      </w:r>
      <w:r w:rsidR="004169F9" w:rsidRPr="004C38FF">
        <w:rPr>
          <w:rFonts w:cs="Times New Roman"/>
          <w:bCs/>
          <w:spacing w:val="-2"/>
        </w:rPr>
        <w:t>4</w:t>
      </w:r>
      <w:r w:rsidRPr="004C38FF">
        <w:rPr>
          <w:rFonts w:cs="Times New Roman"/>
          <w:bCs/>
          <w:spacing w:val="-2"/>
        </w:rPr>
        <w:t xml:space="preserve"> Phụ lục hướng dẫn chi tiết </w:t>
      </w:r>
      <w:r w:rsidR="00E06AD8" w:rsidRPr="004C38FF">
        <w:rPr>
          <w:rFonts w:cs="Times New Roman"/>
          <w:bCs/>
          <w:spacing w:val="-2"/>
        </w:rPr>
        <w:t>các nội dung</w:t>
      </w:r>
      <w:r w:rsidR="00F33D42" w:rsidRPr="004C38FF">
        <w:rPr>
          <w:rFonts w:cs="Times New Roman"/>
          <w:bCs/>
          <w:spacing w:val="-2"/>
        </w:rPr>
        <w:t xml:space="preserve"> sau</w:t>
      </w:r>
      <w:r w:rsidR="003473D4" w:rsidRPr="004C38FF">
        <w:rPr>
          <w:rFonts w:cs="Times New Roman"/>
          <w:bCs/>
          <w:spacing w:val="-2"/>
        </w:rPr>
        <w:t>:</w:t>
      </w:r>
      <w:r w:rsidR="00E06AD8" w:rsidRPr="004C38FF">
        <w:rPr>
          <w:rFonts w:cs="Times New Roman"/>
          <w:bCs/>
          <w:spacing w:val="-2"/>
        </w:rPr>
        <w:t xml:space="preserve"> (i) </w:t>
      </w:r>
      <w:r w:rsidR="004169F9" w:rsidRPr="004C38FF">
        <w:rPr>
          <w:rFonts w:cs="Times New Roman"/>
          <w:bCs/>
          <w:spacing w:val="-2"/>
        </w:rPr>
        <w:t>Tiêu chuẩn đánh giá về năng lực, kinh nghiệm</w:t>
      </w:r>
      <w:r w:rsidR="00E06AD8" w:rsidRPr="004C38FF">
        <w:rPr>
          <w:rFonts w:cs="Times New Roman"/>
          <w:bCs/>
          <w:spacing w:val="-2"/>
        </w:rPr>
        <w:t xml:space="preserve"> (Phụ lục I</w:t>
      </w:r>
      <w:r w:rsidR="004169F9" w:rsidRPr="004C38FF">
        <w:rPr>
          <w:rFonts w:cs="Times New Roman"/>
          <w:bCs/>
          <w:spacing w:val="-2"/>
        </w:rPr>
        <w:t>), (</w:t>
      </w:r>
      <w:r w:rsidR="00E06AD8" w:rsidRPr="004C38FF">
        <w:rPr>
          <w:rFonts w:cs="Times New Roman"/>
          <w:bCs/>
          <w:spacing w:val="-2"/>
        </w:rPr>
        <w:t xml:space="preserve">ii) </w:t>
      </w:r>
      <w:r w:rsidR="004169F9" w:rsidRPr="004C38FF">
        <w:rPr>
          <w:rFonts w:cs="Times New Roman"/>
          <w:bCs/>
          <w:spacing w:val="-2"/>
        </w:rPr>
        <w:t>Tiêu chuẩn đánh giá về kỹ thuật của nhà đầu tư</w:t>
      </w:r>
      <w:r w:rsidR="00E06AD8" w:rsidRPr="004C38FF">
        <w:rPr>
          <w:rFonts w:cs="Times New Roman"/>
          <w:bCs/>
          <w:spacing w:val="-2"/>
        </w:rPr>
        <w:t xml:space="preserve"> (Phụ lục II</w:t>
      </w:r>
      <w:r w:rsidR="004169F9" w:rsidRPr="004C38FF">
        <w:rPr>
          <w:rFonts w:cs="Times New Roman"/>
          <w:bCs/>
          <w:spacing w:val="-2"/>
        </w:rPr>
        <w:t xml:space="preserve">), </w:t>
      </w:r>
      <w:r w:rsidR="00E06AD8" w:rsidRPr="004C38FF">
        <w:rPr>
          <w:rFonts w:cs="Times New Roman"/>
          <w:bCs/>
          <w:spacing w:val="-2"/>
        </w:rPr>
        <w:t xml:space="preserve">(iii) </w:t>
      </w:r>
      <w:r w:rsidR="004169F9" w:rsidRPr="004C38FF">
        <w:rPr>
          <w:rFonts w:cs="Times New Roman"/>
          <w:bCs/>
          <w:spacing w:val="-2"/>
        </w:rPr>
        <w:t>Tiêu chuẩn đánh giá về tài chính - thương mại đối với phương pháp so sánh, xếp hạng dựa trên các tiêu chuẩn kết hợp</w:t>
      </w:r>
      <w:r w:rsidR="00E06AD8" w:rsidRPr="004C38FF">
        <w:rPr>
          <w:rFonts w:cs="Times New Roman"/>
          <w:bCs/>
          <w:spacing w:val="-2"/>
        </w:rPr>
        <w:t xml:space="preserve"> (Phụ lục III</w:t>
      </w:r>
      <w:r w:rsidR="004169F9" w:rsidRPr="004C38FF">
        <w:rPr>
          <w:rFonts w:cs="Times New Roman"/>
          <w:bCs/>
          <w:spacing w:val="-2"/>
        </w:rPr>
        <w:t>)</w:t>
      </w:r>
      <w:r w:rsidR="00E06AD8" w:rsidRPr="004C38FF">
        <w:rPr>
          <w:rFonts w:cs="Times New Roman"/>
          <w:bCs/>
          <w:spacing w:val="-2"/>
        </w:rPr>
        <w:t xml:space="preserve"> và </w:t>
      </w:r>
      <w:r w:rsidR="004169F9" w:rsidRPr="004C38FF">
        <w:rPr>
          <w:rFonts w:cs="Times New Roman"/>
          <w:bCs/>
          <w:spacing w:val="-2"/>
        </w:rPr>
        <w:t>Mẫu hợp đồng dự án BLT</w:t>
      </w:r>
      <w:r w:rsidR="005729DB">
        <w:rPr>
          <w:rFonts w:cs="Times New Roman"/>
          <w:bCs/>
          <w:spacing w:val="-2"/>
        </w:rPr>
        <w:t xml:space="preserve"> và BTL</w:t>
      </w:r>
      <w:r w:rsidR="004169F9" w:rsidRPr="004C38FF">
        <w:rPr>
          <w:rFonts w:cs="Times New Roman"/>
          <w:bCs/>
          <w:spacing w:val="-2"/>
        </w:rPr>
        <w:t xml:space="preserve"> trong lĩnh vực xử lý chất thải rắn sinh hoạt</w:t>
      </w:r>
      <w:r w:rsidR="00E06AD8" w:rsidRPr="004C38FF">
        <w:rPr>
          <w:rFonts w:cs="Times New Roman"/>
          <w:bCs/>
          <w:spacing w:val="-2"/>
        </w:rPr>
        <w:t xml:space="preserve"> (Phụ lục IV</w:t>
      </w:r>
      <w:r w:rsidR="004169F9" w:rsidRPr="004C38FF">
        <w:rPr>
          <w:rFonts w:cs="Times New Roman"/>
          <w:bCs/>
          <w:spacing w:val="-2"/>
        </w:rPr>
        <w:t>).</w:t>
      </w:r>
    </w:p>
    <w:p w14:paraId="0F63F2A7" w14:textId="4099564B" w:rsidR="009C2015" w:rsidRPr="004C38FF" w:rsidRDefault="009C2015" w:rsidP="009C2015">
      <w:pPr>
        <w:widowControl w:val="0"/>
        <w:spacing w:before="120"/>
        <w:ind w:firstLine="720"/>
        <w:jc w:val="both"/>
        <w:rPr>
          <w:rFonts w:cs="Times New Roman"/>
          <w:bCs/>
          <w:i/>
          <w:iCs/>
          <w:spacing w:val="-2"/>
        </w:rPr>
      </w:pPr>
      <w:r w:rsidRPr="004C38FF">
        <w:rPr>
          <w:rFonts w:cs="Times New Roman"/>
          <w:bCs/>
          <w:i/>
          <w:iCs/>
          <w:spacing w:val="-2"/>
        </w:rPr>
        <w:t>3.2. Những nội dung chủ yếu của dự thảo Thông tư:</w:t>
      </w:r>
    </w:p>
    <w:p w14:paraId="5B411104" w14:textId="630A680E" w:rsidR="00F33D42" w:rsidRPr="004C38FF" w:rsidRDefault="00E46DF0" w:rsidP="009C2015">
      <w:pPr>
        <w:widowControl w:val="0"/>
        <w:spacing w:before="120"/>
        <w:ind w:firstLine="720"/>
        <w:jc w:val="both"/>
        <w:rPr>
          <w:rFonts w:cs="Times New Roman"/>
          <w:bCs/>
          <w:spacing w:val="-2"/>
        </w:rPr>
      </w:pPr>
      <w:r w:rsidRPr="004C38FF">
        <w:rPr>
          <w:rFonts w:cs="Times New Roman"/>
          <w:bCs/>
          <w:spacing w:val="-2"/>
        </w:rPr>
        <w:t xml:space="preserve">Thông tư này cung cấp hướng dẫn chi tiết và mẫu hợp đồng nhằm đảm bảo việc thực hiện các dự án PPP trong lĩnh vực chất thải rắn sinh hoạt được hiệu quả và minh bạch. </w:t>
      </w:r>
      <w:r w:rsidR="009C2015" w:rsidRPr="004C38FF">
        <w:rPr>
          <w:rFonts w:cs="Times New Roman"/>
          <w:bCs/>
          <w:spacing w:val="-2"/>
        </w:rPr>
        <w:t xml:space="preserve">Những nội dung </w:t>
      </w:r>
      <w:r w:rsidR="00C06C8F" w:rsidRPr="004C38FF">
        <w:rPr>
          <w:rFonts w:cs="Times New Roman"/>
          <w:bCs/>
          <w:spacing w:val="-2"/>
        </w:rPr>
        <w:t xml:space="preserve">chính </w:t>
      </w:r>
      <w:r w:rsidR="009C2015" w:rsidRPr="004C38FF">
        <w:rPr>
          <w:rFonts w:cs="Times New Roman"/>
          <w:bCs/>
          <w:spacing w:val="-2"/>
        </w:rPr>
        <w:t xml:space="preserve">quy định tại Thông tư này </w:t>
      </w:r>
      <w:r w:rsidR="00C06C8F" w:rsidRPr="004C38FF">
        <w:rPr>
          <w:rFonts w:cs="Times New Roman"/>
          <w:bCs/>
          <w:spacing w:val="-2"/>
        </w:rPr>
        <w:t>bao gồm</w:t>
      </w:r>
      <w:r w:rsidR="00F33D42" w:rsidRPr="004C38FF">
        <w:rPr>
          <w:rFonts w:cs="Times New Roman"/>
          <w:bCs/>
          <w:spacing w:val="-2"/>
        </w:rPr>
        <w:t>:</w:t>
      </w:r>
    </w:p>
    <w:p w14:paraId="67A2CDB5" w14:textId="77777777" w:rsidR="008A3037" w:rsidRDefault="00E46DF0" w:rsidP="00E46DF0">
      <w:pPr>
        <w:widowControl w:val="0"/>
        <w:spacing w:before="120"/>
        <w:ind w:firstLine="720"/>
        <w:jc w:val="both"/>
        <w:rPr>
          <w:rFonts w:cs="Times New Roman"/>
          <w:bCs/>
          <w:spacing w:val="-2"/>
        </w:rPr>
      </w:pPr>
      <w:r w:rsidRPr="004C38FF">
        <w:rPr>
          <w:rFonts w:cs="Times New Roman"/>
          <w:bCs/>
          <w:spacing w:val="-2"/>
        </w:rPr>
        <w:t xml:space="preserve">Chương I, Quy định chung: Điều 1 đến Điều </w:t>
      </w:r>
      <w:r w:rsidR="008A3037">
        <w:rPr>
          <w:rFonts w:cs="Times New Roman"/>
          <w:bCs/>
          <w:spacing w:val="-2"/>
        </w:rPr>
        <w:t>4</w:t>
      </w:r>
      <w:r w:rsidRPr="004C38FF">
        <w:rPr>
          <w:rFonts w:cs="Times New Roman"/>
          <w:bCs/>
          <w:spacing w:val="-2"/>
        </w:rPr>
        <w:t>, xác định phạm vi điều chỉnh và đối tượng áp dụng, quy định về các dự án PPP trong lĩnh vực chất thải rắn sinh hoạt</w:t>
      </w:r>
    </w:p>
    <w:p w14:paraId="5F9D94FF" w14:textId="5B221B22" w:rsidR="00E46DF0" w:rsidRPr="004C38FF" w:rsidRDefault="008A3037" w:rsidP="00E46DF0">
      <w:pPr>
        <w:widowControl w:val="0"/>
        <w:spacing w:before="120"/>
        <w:ind w:firstLine="720"/>
        <w:jc w:val="both"/>
        <w:rPr>
          <w:rFonts w:cs="Times New Roman"/>
          <w:bCs/>
          <w:spacing w:val="-2"/>
        </w:rPr>
      </w:pPr>
      <w:r w:rsidRPr="004C38FF">
        <w:rPr>
          <w:rFonts w:cs="Times New Roman"/>
          <w:bCs/>
          <w:spacing w:val="-2"/>
        </w:rPr>
        <w:t>Chương I</w:t>
      </w:r>
      <w:r>
        <w:rPr>
          <w:rFonts w:cs="Times New Roman"/>
          <w:bCs/>
          <w:spacing w:val="-2"/>
        </w:rPr>
        <w:t>I</w:t>
      </w:r>
      <w:r w:rsidRPr="004C38FF">
        <w:rPr>
          <w:rFonts w:cs="Times New Roman"/>
          <w:bCs/>
          <w:spacing w:val="-2"/>
        </w:rPr>
        <w:t xml:space="preserve">, </w:t>
      </w:r>
      <w:r>
        <w:rPr>
          <w:rFonts w:cs="Times New Roman"/>
          <w:bCs/>
          <w:spacing w:val="-2"/>
        </w:rPr>
        <w:t>M</w:t>
      </w:r>
      <w:r w:rsidRPr="008A3037">
        <w:rPr>
          <w:rFonts w:cs="Times New Roman"/>
          <w:bCs/>
          <w:spacing w:val="-2"/>
        </w:rPr>
        <w:t>ột số nội dung trong báo cáo nghiên cứu tiền khả thi  và báo cáo nghiên cứu khả thi</w:t>
      </w:r>
      <w:r>
        <w:rPr>
          <w:rFonts w:cs="Times New Roman"/>
          <w:bCs/>
          <w:spacing w:val="-2"/>
        </w:rPr>
        <w:t xml:space="preserve">: </w:t>
      </w:r>
      <w:r w:rsidR="0062647C" w:rsidRPr="004C38FF">
        <w:rPr>
          <w:rFonts w:cs="Times New Roman"/>
          <w:bCs/>
          <w:spacing w:val="-2"/>
        </w:rPr>
        <w:t xml:space="preserve">Điều </w:t>
      </w:r>
      <w:r w:rsidR="0062647C">
        <w:rPr>
          <w:rFonts w:cs="Times New Roman"/>
          <w:bCs/>
          <w:spacing w:val="-2"/>
        </w:rPr>
        <w:t>5</w:t>
      </w:r>
      <w:r w:rsidR="0062647C" w:rsidRPr="004C38FF">
        <w:rPr>
          <w:rFonts w:cs="Times New Roman"/>
          <w:bCs/>
          <w:spacing w:val="-2"/>
        </w:rPr>
        <w:t xml:space="preserve"> đến Điều </w:t>
      </w:r>
      <w:r w:rsidR="0062647C">
        <w:rPr>
          <w:rFonts w:cs="Times New Roman"/>
          <w:bCs/>
          <w:spacing w:val="-2"/>
        </w:rPr>
        <w:t xml:space="preserve">8, quy định </w:t>
      </w:r>
      <w:r w:rsidR="00E46DF0" w:rsidRPr="004C38FF">
        <w:rPr>
          <w:rFonts w:cs="Times New Roman"/>
          <w:bCs/>
          <w:spacing w:val="-2"/>
        </w:rPr>
        <w:t>cơ quan thẩm định, chỉ tiêu hiệu quả kinh tế - xã hội, khung lợi nhuận trên vốn chủ sở hữu, các chỉ số đánh giá công nghệ và cơ sở hạ tầng, thời gian trích khấu hao.</w:t>
      </w:r>
    </w:p>
    <w:p w14:paraId="7829F609" w14:textId="70CCA381" w:rsidR="00E46DF0" w:rsidRPr="004C38FF" w:rsidRDefault="00E46DF0" w:rsidP="00E46DF0">
      <w:pPr>
        <w:widowControl w:val="0"/>
        <w:spacing w:before="120"/>
        <w:ind w:firstLine="720"/>
        <w:jc w:val="both"/>
        <w:rPr>
          <w:rFonts w:cs="Times New Roman"/>
          <w:bCs/>
          <w:spacing w:val="-2"/>
        </w:rPr>
      </w:pPr>
      <w:r w:rsidRPr="004C38FF">
        <w:rPr>
          <w:rFonts w:cs="Times New Roman"/>
          <w:bCs/>
          <w:spacing w:val="-2"/>
        </w:rPr>
        <w:t>Chương II</w:t>
      </w:r>
      <w:r w:rsidR="0062647C">
        <w:rPr>
          <w:rFonts w:cs="Times New Roman"/>
          <w:bCs/>
          <w:spacing w:val="-2"/>
        </w:rPr>
        <w:t>I</w:t>
      </w:r>
      <w:r w:rsidRPr="004C38FF">
        <w:rPr>
          <w:rFonts w:cs="Times New Roman"/>
          <w:bCs/>
          <w:spacing w:val="-2"/>
        </w:rPr>
        <w:t xml:space="preserve">, Phương pháp và tiêu chuẩn đánh giá hồ sơ dự thầu: Điều </w:t>
      </w:r>
      <w:r w:rsidR="0062647C">
        <w:rPr>
          <w:rFonts w:cs="Times New Roman"/>
          <w:bCs/>
          <w:spacing w:val="-2"/>
        </w:rPr>
        <w:t>9</w:t>
      </w:r>
      <w:r w:rsidRPr="004C38FF">
        <w:rPr>
          <w:rFonts w:cs="Times New Roman"/>
          <w:bCs/>
          <w:spacing w:val="-2"/>
        </w:rPr>
        <w:t xml:space="preserve"> đến Điều 13, quy định về phương pháp và tiêu chuẩn đánh giá hồ sơ dự thầu, bao gồm năng lực, kinh nghiệm, kỹ thuật, và tài chính - thương mại.</w:t>
      </w:r>
    </w:p>
    <w:p w14:paraId="6C412393" w14:textId="6FF4464D" w:rsidR="00E46DF0" w:rsidRDefault="00E46DF0" w:rsidP="0062647C">
      <w:pPr>
        <w:widowControl w:val="0"/>
        <w:tabs>
          <w:tab w:val="left" w:pos="6170"/>
        </w:tabs>
        <w:spacing w:before="120"/>
        <w:ind w:firstLine="720"/>
        <w:jc w:val="both"/>
        <w:rPr>
          <w:rFonts w:cs="Times New Roman"/>
          <w:bCs/>
          <w:spacing w:val="-2"/>
        </w:rPr>
      </w:pPr>
      <w:r w:rsidRPr="004C38FF">
        <w:rPr>
          <w:rFonts w:cs="Times New Roman"/>
          <w:bCs/>
          <w:spacing w:val="-2"/>
        </w:rPr>
        <w:t>Chương I</w:t>
      </w:r>
      <w:r w:rsidR="0062647C">
        <w:rPr>
          <w:rFonts w:cs="Times New Roman"/>
          <w:bCs/>
          <w:spacing w:val="-2"/>
        </w:rPr>
        <w:t>V</w:t>
      </w:r>
      <w:r w:rsidRPr="004C38FF">
        <w:rPr>
          <w:rFonts w:cs="Times New Roman"/>
          <w:bCs/>
          <w:spacing w:val="-2"/>
        </w:rPr>
        <w:t xml:space="preserve">, Mẫu hợp đồng dự án PPP: Điều 14 đến Điều </w:t>
      </w:r>
      <w:r w:rsidR="0062647C">
        <w:rPr>
          <w:rFonts w:cs="Times New Roman"/>
          <w:bCs/>
          <w:spacing w:val="-2"/>
        </w:rPr>
        <w:t>1</w:t>
      </w:r>
      <w:r w:rsidR="00364CB2">
        <w:rPr>
          <w:rFonts w:cs="Times New Roman"/>
          <w:bCs/>
          <w:spacing w:val="-2"/>
        </w:rPr>
        <w:t>6</w:t>
      </w:r>
      <w:r w:rsidRPr="004C38FF">
        <w:rPr>
          <w:rFonts w:cs="Times New Roman"/>
          <w:bCs/>
          <w:spacing w:val="-2"/>
        </w:rPr>
        <w:t xml:space="preserve">, cung cấp mẫu hợp đồng cho các dự án PPP, quy định </w:t>
      </w:r>
      <w:r w:rsidR="0062647C" w:rsidRPr="0062647C">
        <w:rPr>
          <w:rFonts w:cs="Times New Roman"/>
          <w:bCs/>
          <w:spacing w:val="-2"/>
        </w:rPr>
        <w:t>Nguyên tắc áp dụng mẫu hợp đồng dự án PPP xử lý chất thải rắn sinh hoạt</w:t>
      </w:r>
      <w:r w:rsidR="0062647C">
        <w:rPr>
          <w:rFonts w:cs="Times New Roman"/>
          <w:bCs/>
          <w:spacing w:val="-2"/>
        </w:rPr>
        <w:t>; g</w:t>
      </w:r>
      <w:r w:rsidR="0062647C" w:rsidRPr="0062647C">
        <w:rPr>
          <w:rFonts w:cs="Times New Roman"/>
          <w:bCs/>
          <w:spacing w:val="-2"/>
        </w:rPr>
        <w:t>iá sản phẩm, dịch vụ xử lý chất thải rắn sinh hoạt trong hợp đồng dự án đầu tư theo phương thức đối tác công tư</w:t>
      </w:r>
      <w:r w:rsidRPr="004C38FF">
        <w:rPr>
          <w:rFonts w:cs="Times New Roman"/>
          <w:bCs/>
          <w:spacing w:val="-2"/>
        </w:rPr>
        <w:t>.</w:t>
      </w:r>
    </w:p>
    <w:p w14:paraId="5C6A5271" w14:textId="5478B38F" w:rsidR="0062647C" w:rsidRPr="004C38FF" w:rsidRDefault="0062647C" w:rsidP="0062647C">
      <w:pPr>
        <w:widowControl w:val="0"/>
        <w:tabs>
          <w:tab w:val="left" w:pos="6170"/>
        </w:tabs>
        <w:spacing w:before="120"/>
        <w:ind w:firstLine="720"/>
        <w:jc w:val="both"/>
        <w:rPr>
          <w:rFonts w:cs="Times New Roman"/>
          <w:bCs/>
          <w:spacing w:val="-2"/>
        </w:rPr>
      </w:pPr>
      <w:r>
        <w:rPr>
          <w:rFonts w:cs="Times New Roman"/>
          <w:bCs/>
          <w:spacing w:val="-2"/>
        </w:rPr>
        <w:t>Chương V, Tổ chức thực hiện</w:t>
      </w:r>
      <w:r w:rsidR="00EB5DDE">
        <w:rPr>
          <w:rFonts w:cs="Times New Roman"/>
          <w:bCs/>
          <w:spacing w:val="-2"/>
        </w:rPr>
        <w:t>: Điều 17 đến Điều 18.</w:t>
      </w:r>
    </w:p>
    <w:p w14:paraId="438462E1" w14:textId="2B6629EA" w:rsidR="00E46DF0" w:rsidRPr="004C38FF" w:rsidRDefault="00E46DF0" w:rsidP="00E46DF0">
      <w:pPr>
        <w:widowControl w:val="0"/>
        <w:spacing w:before="120"/>
        <w:ind w:firstLine="720"/>
        <w:jc w:val="both"/>
        <w:rPr>
          <w:rFonts w:cs="Times New Roman"/>
          <w:bCs/>
          <w:spacing w:val="-2"/>
        </w:rPr>
      </w:pPr>
      <w:r w:rsidRPr="004C38FF">
        <w:rPr>
          <w:rFonts w:cs="Times New Roman"/>
          <w:bCs/>
          <w:spacing w:val="-2"/>
        </w:rPr>
        <w:t>Phụ lục: Bao gồm các tiêu chuẩn đánh giá về năng lực, kinh nghiệm, kỹ thuật của nhà đầu tư, mẫu hợp đồng dự án BLT</w:t>
      </w:r>
      <w:r w:rsidR="005729DB">
        <w:rPr>
          <w:rFonts w:cs="Times New Roman"/>
          <w:bCs/>
          <w:spacing w:val="-2"/>
        </w:rPr>
        <w:t xml:space="preserve"> và BTL</w:t>
      </w:r>
      <w:r w:rsidRPr="004C38FF">
        <w:rPr>
          <w:rFonts w:cs="Times New Roman"/>
          <w:bCs/>
          <w:spacing w:val="-2"/>
        </w:rPr>
        <w:t xml:space="preserve"> trong lĩnh vực chất thải rắn sinh hoạt, văn bản thỏa thuận của các bên về hợp đồng dự án BLT</w:t>
      </w:r>
      <w:r w:rsidR="005729DB">
        <w:rPr>
          <w:rFonts w:cs="Times New Roman"/>
          <w:bCs/>
          <w:spacing w:val="-2"/>
        </w:rPr>
        <w:t xml:space="preserve"> và BTL</w:t>
      </w:r>
      <w:r w:rsidRPr="004C38FF">
        <w:rPr>
          <w:rFonts w:cs="Times New Roman"/>
          <w:bCs/>
          <w:spacing w:val="-2"/>
        </w:rPr>
        <w:t>, điều kiện chung và cụ thể của hợp đồng, và các phụ lục hợp đồng chi tiết.</w:t>
      </w:r>
    </w:p>
    <w:p w14:paraId="5ABA05DD" w14:textId="089D6A7D" w:rsidR="009C2015" w:rsidRPr="009C2015" w:rsidRDefault="009C2015" w:rsidP="009C2015">
      <w:pPr>
        <w:widowControl w:val="0"/>
        <w:spacing w:before="120"/>
        <w:ind w:firstLine="720"/>
        <w:jc w:val="both"/>
        <w:rPr>
          <w:rFonts w:cs="Times New Roman"/>
          <w:bCs/>
          <w:i/>
          <w:iCs/>
          <w:spacing w:val="-2"/>
        </w:rPr>
      </w:pPr>
      <w:r w:rsidRPr="009C2015">
        <w:rPr>
          <w:rFonts w:cs="Times New Roman"/>
          <w:bCs/>
          <w:i/>
          <w:iCs/>
          <w:spacing w:val="-2"/>
        </w:rPr>
        <w:t>3.3. Về hiệu lực của Thông tư</w:t>
      </w:r>
    </w:p>
    <w:p w14:paraId="4717F749" w14:textId="501A08C7" w:rsidR="009C2015" w:rsidRPr="00F31D27" w:rsidRDefault="00472C45" w:rsidP="009C2015">
      <w:pPr>
        <w:widowControl w:val="0"/>
        <w:spacing w:before="120"/>
        <w:ind w:firstLine="720"/>
        <w:jc w:val="both"/>
        <w:rPr>
          <w:rFonts w:cs="Times New Roman"/>
          <w:bCs/>
          <w:spacing w:val="-2"/>
        </w:rPr>
      </w:pPr>
      <w:r w:rsidRPr="00F31D27">
        <w:rPr>
          <w:rFonts w:cs="Times New Roman"/>
          <w:bCs/>
          <w:spacing w:val="-2"/>
        </w:rPr>
        <w:lastRenderedPageBreak/>
        <w:t>Thông tư này có hiệu lực sau 45 ngày kể từ ngày ký</w:t>
      </w:r>
      <w:r w:rsidR="009C2015" w:rsidRPr="00F31D27">
        <w:rPr>
          <w:rFonts w:cs="Times New Roman"/>
          <w:bCs/>
          <w:spacing w:val="-2"/>
        </w:rPr>
        <w:t xml:space="preserve">. </w:t>
      </w:r>
    </w:p>
    <w:p w14:paraId="5251411D" w14:textId="4B43C4F4" w:rsidR="00C64613" w:rsidRPr="009C2015" w:rsidRDefault="002D7791" w:rsidP="009C2015">
      <w:pPr>
        <w:widowControl w:val="0"/>
        <w:spacing w:before="120"/>
        <w:ind w:firstLine="720"/>
        <w:jc w:val="both"/>
        <w:rPr>
          <w:rFonts w:cs="Times New Roman"/>
          <w:bCs/>
          <w:i/>
          <w:iCs/>
          <w:spacing w:val="-2"/>
        </w:rPr>
      </w:pPr>
      <w:r>
        <w:rPr>
          <w:rFonts w:cs="Times New Roman"/>
          <w:bCs/>
          <w:i/>
          <w:iCs/>
          <w:spacing w:val="-2"/>
        </w:rPr>
        <w:t>3.</w:t>
      </w:r>
      <w:r w:rsidR="009C2015" w:rsidRPr="009C2015">
        <w:rPr>
          <w:rFonts w:cs="Times New Roman"/>
          <w:bCs/>
          <w:i/>
          <w:iCs/>
          <w:spacing w:val="-2"/>
        </w:rPr>
        <w:t>4</w:t>
      </w:r>
      <w:r w:rsidR="00C64613" w:rsidRPr="009C2015">
        <w:rPr>
          <w:rFonts w:cs="Times New Roman"/>
          <w:bCs/>
          <w:i/>
          <w:iCs/>
          <w:spacing w:val="-2"/>
        </w:rPr>
        <w:t xml:space="preserve">. </w:t>
      </w:r>
      <w:r w:rsidR="00BC762F" w:rsidRPr="009C2015">
        <w:rPr>
          <w:rFonts w:cs="Times New Roman"/>
          <w:bCs/>
          <w:i/>
          <w:iCs/>
          <w:spacing w:val="-2"/>
        </w:rPr>
        <w:t>B</w:t>
      </w:r>
      <w:r w:rsidR="00C64613" w:rsidRPr="009C2015">
        <w:rPr>
          <w:rFonts w:cs="Times New Roman"/>
          <w:bCs/>
          <w:i/>
          <w:iCs/>
          <w:spacing w:val="-2"/>
        </w:rPr>
        <w:t>ộ phận tạo thành thủ tục hành chính</w:t>
      </w:r>
    </w:p>
    <w:p w14:paraId="4122AE69" w14:textId="088BC426" w:rsidR="00A133FF" w:rsidRDefault="005C57E1" w:rsidP="00536E93">
      <w:pPr>
        <w:widowControl w:val="0"/>
        <w:spacing w:before="120"/>
        <w:ind w:firstLine="720"/>
        <w:jc w:val="both"/>
        <w:rPr>
          <w:rFonts w:cs="Times New Roman"/>
          <w:bCs/>
          <w:spacing w:val="-2"/>
        </w:rPr>
      </w:pPr>
      <w:r w:rsidRPr="009C2015">
        <w:rPr>
          <w:rFonts w:cs="Times New Roman"/>
          <w:bCs/>
          <w:spacing w:val="-2"/>
        </w:rPr>
        <w:t xml:space="preserve">Các nội dung sửa đổi </w:t>
      </w:r>
      <w:r w:rsidR="00A133FF" w:rsidRPr="009C2015">
        <w:rPr>
          <w:rFonts w:cs="Times New Roman"/>
          <w:bCs/>
          <w:spacing w:val="-2"/>
        </w:rPr>
        <w:t xml:space="preserve">không làm thay đổi các bước thực hiện thủ tục hành chính; không phát sinh chi phí thực hiện thủ tục hành chính của tổ chức, cá nhân; đồng thời tạo thuận lợi cho tổ chức, cá nhân trong việc thực hiện thủ tục hành chính. </w:t>
      </w:r>
    </w:p>
    <w:p w14:paraId="0E11B100" w14:textId="77777777" w:rsidR="009C2015" w:rsidRPr="00A020C1" w:rsidRDefault="009C2015" w:rsidP="009C2015">
      <w:pPr>
        <w:spacing w:before="120" w:after="120" w:line="360" w:lineRule="exact"/>
        <w:ind w:firstLine="709"/>
        <w:jc w:val="both"/>
        <w:rPr>
          <w:b/>
          <w:spacing w:val="-12"/>
          <w:lang w:val="nl-NL"/>
        </w:rPr>
      </w:pPr>
      <w:r>
        <w:rPr>
          <w:b/>
          <w:spacing w:val="-12"/>
          <w:lang w:val="nl-NL"/>
        </w:rPr>
        <w:t>I</w:t>
      </w:r>
      <w:r w:rsidRPr="00A020C1">
        <w:rPr>
          <w:b/>
          <w:spacing w:val="-12"/>
          <w:lang w:val="nl-NL"/>
        </w:rPr>
        <w:t>V. TIẾP THU</w:t>
      </w:r>
      <w:r w:rsidRPr="00A020C1">
        <w:rPr>
          <w:b/>
          <w:spacing w:val="-12"/>
          <w:lang w:val="vi-VN"/>
        </w:rPr>
        <w:t xml:space="preserve">, </w:t>
      </w:r>
      <w:r w:rsidRPr="00A020C1">
        <w:rPr>
          <w:b/>
          <w:spacing w:val="-12"/>
          <w:lang w:val="nl-NL"/>
        </w:rPr>
        <w:t xml:space="preserve"> GIẢI TRÌNH Ý KIẾN THẨM ĐỊNH CỦA VỤ PHÁP CHẾ</w:t>
      </w:r>
    </w:p>
    <w:p w14:paraId="57BFFB9B" w14:textId="0942E82B" w:rsidR="009C2015" w:rsidRPr="009C2015" w:rsidRDefault="009C2015" w:rsidP="009C2015">
      <w:pPr>
        <w:spacing w:before="120" w:after="120" w:line="360" w:lineRule="exact"/>
        <w:ind w:left="709"/>
        <w:jc w:val="both"/>
        <w:rPr>
          <w:b/>
          <w:bCs/>
          <w:i/>
          <w:iCs/>
          <w:lang w:val="pl-PL"/>
        </w:rPr>
      </w:pPr>
      <w:r w:rsidRPr="009C2015">
        <w:rPr>
          <w:b/>
          <w:bCs/>
          <w:i/>
          <w:iCs/>
          <w:lang w:val="pl-PL"/>
        </w:rPr>
        <w:t xml:space="preserve">4.1. Những nội dung tiếp thu: </w:t>
      </w:r>
    </w:p>
    <w:p w14:paraId="7B244265" w14:textId="0A75D3B7" w:rsidR="009C2015" w:rsidRPr="00291D84" w:rsidRDefault="009C2015" w:rsidP="009C2015">
      <w:pPr>
        <w:spacing w:before="120" w:after="120" w:line="360" w:lineRule="exact"/>
        <w:ind w:firstLine="709"/>
        <w:jc w:val="both"/>
        <w:rPr>
          <w:i/>
          <w:iCs/>
          <w:lang w:val="it-IT"/>
        </w:rPr>
      </w:pPr>
      <w:r>
        <w:rPr>
          <w:i/>
          <w:iCs/>
          <w:lang w:val="it-IT"/>
        </w:rPr>
        <w:t>4.1.1.</w:t>
      </w:r>
      <w:r w:rsidRPr="00291D84">
        <w:rPr>
          <w:i/>
          <w:iCs/>
          <w:lang w:val="it-IT"/>
        </w:rPr>
        <w:t xml:space="preserve"> Vụ Pháp chế đề</w:t>
      </w:r>
      <w:r>
        <w:rPr>
          <w:i/>
          <w:iCs/>
          <w:lang w:val="it-IT"/>
        </w:rPr>
        <w:t xml:space="preserve"> nghị</w:t>
      </w:r>
      <w:r w:rsidRPr="00291D84">
        <w:rPr>
          <w:i/>
          <w:iCs/>
          <w:lang w:val="it-IT"/>
        </w:rPr>
        <w:t>.</w:t>
      </w:r>
    </w:p>
    <w:p w14:paraId="3787175F" w14:textId="39141BC5" w:rsidR="009C2015" w:rsidRDefault="009C2015" w:rsidP="009C2015">
      <w:pPr>
        <w:widowControl w:val="0"/>
        <w:spacing w:before="120"/>
        <w:ind w:firstLine="720"/>
        <w:jc w:val="both"/>
        <w:rPr>
          <w:lang w:val="it-IT"/>
        </w:rPr>
      </w:pPr>
      <w:r w:rsidRPr="00291D84">
        <w:rPr>
          <w:lang w:val="it-IT"/>
        </w:rPr>
        <w:t>Tiếp thu ý kiến</w:t>
      </w:r>
      <w:r>
        <w:rPr>
          <w:lang w:val="it-IT"/>
        </w:rPr>
        <w:t xml:space="preserve"> thẩm định</w:t>
      </w:r>
      <w:r w:rsidRPr="00291D84">
        <w:rPr>
          <w:lang w:val="it-IT"/>
        </w:rPr>
        <w:t xml:space="preserve"> của Vụ Pháp chế,</w:t>
      </w:r>
    </w:p>
    <w:p w14:paraId="4053D0E3" w14:textId="7982BB15" w:rsidR="009C2015" w:rsidRDefault="002D7791" w:rsidP="009C2015">
      <w:pPr>
        <w:widowControl w:val="0"/>
        <w:spacing w:before="120"/>
        <w:ind w:firstLine="720"/>
        <w:jc w:val="both"/>
        <w:rPr>
          <w:lang w:val="it-IT"/>
        </w:rPr>
      </w:pPr>
      <w:r>
        <w:rPr>
          <w:lang w:val="it-IT"/>
        </w:rPr>
        <w:t>.........................................................................</w:t>
      </w:r>
    </w:p>
    <w:p w14:paraId="169E931C" w14:textId="440D4666" w:rsidR="009C2015" w:rsidRPr="009C2015" w:rsidRDefault="009C2015" w:rsidP="009C2015">
      <w:pPr>
        <w:spacing w:before="120" w:after="120" w:line="360" w:lineRule="exact"/>
        <w:ind w:firstLine="709"/>
        <w:jc w:val="both"/>
        <w:rPr>
          <w:b/>
          <w:bCs/>
          <w:i/>
          <w:iCs/>
          <w:lang w:val="it-IT"/>
        </w:rPr>
      </w:pPr>
      <w:r w:rsidRPr="009C2015">
        <w:rPr>
          <w:b/>
          <w:bCs/>
          <w:i/>
          <w:iCs/>
          <w:lang w:val="it-IT"/>
        </w:rPr>
        <w:t>4.2. Một số nội dung giải trình:</w:t>
      </w:r>
    </w:p>
    <w:p w14:paraId="5C7E53B1" w14:textId="35DAFE02" w:rsidR="009C2015" w:rsidRPr="00291D84" w:rsidRDefault="009C2015" w:rsidP="009C2015">
      <w:pPr>
        <w:spacing w:before="120" w:after="120" w:line="360" w:lineRule="exact"/>
        <w:ind w:firstLine="709"/>
        <w:jc w:val="both"/>
        <w:rPr>
          <w:rFonts w:ascii="Times New Roman Italic" w:hAnsi="Times New Roman Italic"/>
          <w:i/>
          <w:iCs/>
          <w:spacing w:val="-2"/>
          <w:lang w:val="it-IT"/>
        </w:rPr>
      </w:pPr>
      <w:r w:rsidRPr="00291D84">
        <w:rPr>
          <w:rFonts w:ascii="Times New Roman Italic" w:hAnsi="Times New Roman Italic"/>
          <w:i/>
          <w:iCs/>
          <w:spacing w:val="-2"/>
          <w:lang w:val="it-IT"/>
        </w:rPr>
        <w:t xml:space="preserve">2.1. </w:t>
      </w:r>
      <w:r>
        <w:rPr>
          <w:rFonts w:ascii="Times New Roman Italic" w:hAnsi="Times New Roman Italic"/>
          <w:i/>
          <w:iCs/>
          <w:spacing w:val="-2"/>
          <w:lang w:val="it-IT"/>
        </w:rPr>
        <w:t>Vụ Pháp chế đ</w:t>
      </w:r>
      <w:r w:rsidRPr="00291D84">
        <w:rPr>
          <w:rFonts w:ascii="Times New Roman Italic" w:hAnsi="Times New Roman Italic"/>
          <w:i/>
          <w:iCs/>
          <w:spacing w:val="-2"/>
          <w:lang w:val="it-IT"/>
        </w:rPr>
        <w:t xml:space="preserve">ề nghị rà soát </w:t>
      </w:r>
      <w:r>
        <w:rPr>
          <w:rFonts w:ascii="Times New Roman Italic" w:hAnsi="Times New Roman Italic"/>
          <w:i/>
          <w:iCs/>
          <w:spacing w:val="-2"/>
          <w:lang w:val="it-IT"/>
        </w:rPr>
        <w:t>căn cứ ban hành dự thảo Thông tư.</w:t>
      </w:r>
    </w:p>
    <w:p w14:paraId="755D81D1" w14:textId="30434EA5" w:rsidR="009C2015" w:rsidRDefault="009C2015" w:rsidP="009C2015">
      <w:pPr>
        <w:spacing w:before="120" w:after="120" w:line="360" w:lineRule="exact"/>
        <w:ind w:firstLine="709"/>
        <w:jc w:val="both"/>
        <w:rPr>
          <w:lang w:val="it-IT"/>
        </w:rPr>
      </w:pPr>
      <w:r>
        <w:rPr>
          <w:lang w:val="it-IT"/>
        </w:rPr>
        <w:t xml:space="preserve">Cục </w:t>
      </w:r>
      <w:r w:rsidR="00554204">
        <w:rPr>
          <w:lang w:val="it-IT"/>
        </w:rPr>
        <w:t>M</w:t>
      </w:r>
      <w:r w:rsidR="002D7791">
        <w:rPr>
          <w:lang w:val="it-IT"/>
        </w:rPr>
        <w:t>ôi trường</w:t>
      </w:r>
      <w:r>
        <w:rPr>
          <w:lang w:val="it-IT"/>
        </w:rPr>
        <w:t xml:space="preserve"> xin giải trình như sau:</w:t>
      </w:r>
    </w:p>
    <w:p w14:paraId="018E623B" w14:textId="7D2E1BCC" w:rsidR="009C2015" w:rsidRDefault="002D7791" w:rsidP="009C2015">
      <w:pPr>
        <w:widowControl w:val="0"/>
        <w:spacing w:before="120"/>
        <w:ind w:firstLine="720"/>
        <w:jc w:val="both"/>
        <w:rPr>
          <w:lang w:val="it-IT"/>
        </w:rPr>
      </w:pPr>
      <w:r>
        <w:rPr>
          <w:lang w:val="it-IT"/>
        </w:rPr>
        <w:t>...............................................................</w:t>
      </w:r>
    </w:p>
    <w:p w14:paraId="4EE2971B" w14:textId="6F4F9CED" w:rsidR="00016795" w:rsidRPr="00536E93" w:rsidRDefault="009C2015" w:rsidP="00536E93">
      <w:pPr>
        <w:pStyle w:val="Heading1"/>
        <w:spacing w:after="0" w:line="240" w:lineRule="auto"/>
        <w:rPr>
          <w:rFonts w:cs="Times New Roman"/>
          <w:sz w:val="28"/>
          <w:szCs w:val="28"/>
        </w:rPr>
      </w:pPr>
      <w:r>
        <w:rPr>
          <w:rFonts w:cs="Times New Roman"/>
          <w:sz w:val="28"/>
          <w:szCs w:val="28"/>
        </w:rPr>
        <w:t>I</w:t>
      </w:r>
      <w:r w:rsidR="00016795" w:rsidRPr="00536E93">
        <w:rPr>
          <w:rFonts w:cs="Times New Roman"/>
          <w:sz w:val="28"/>
          <w:szCs w:val="28"/>
        </w:rPr>
        <w:t>V. NHỮNG VẤN ĐỀ XIN Ý KIẾN</w:t>
      </w:r>
    </w:p>
    <w:p w14:paraId="1122AFA7" w14:textId="14B3F4A3" w:rsidR="004069D7" w:rsidRPr="00536E93" w:rsidRDefault="00B003D1" w:rsidP="00536E93">
      <w:pPr>
        <w:widowControl w:val="0"/>
        <w:spacing w:before="120"/>
        <w:ind w:firstLine="720"/>
        <w:jc w:val="both"/>
        <w:rPr>
          <w:rFonts w:cs="Times New Roman"/>
        </w:rPr>
      </w:pPr>
      <w:r w:rsidRPr="00536E93">
        <w:rPr>
          <w:rFonts w:cs="Times New Roman"/>
        </w:rPr>
        <w:t xml:space="preserve">Trong quá trình nghiên cứu xây dựng Thông tư, </w:t>
      </w:r>
      <w:r w:rsidR="005C57E1" w:rsidRPr="00536E93">
        <w:rPr>
          <w:rFonts w:cs="Times New Roman"/>
        </w:rPr>
        <w:t xml:space="preserve">Cục </w:t>
      </w:r>
      <w:r w:rsidR="0062647C">
        <w:rPr>
          <w:rFonts w:cs="Times New Roman"/>
        </w:rPr>
        <w:t>M</w:t>
      </w:r>
      <w:r w:rsidRPr="00536E93">
        <w:rPr>
          <w:rFonts w:cs="Times New Roman"/>
        </w:rPr>
        <w:t xml:space="preserve">ôi trường kính </w:t>
      </w:r>
      <w:r w:rsidR="00B81761" w:rsidRPr="00536E93">
        <w:rPr>
          <w:rFonts w:cs="Times New Roman"/>
        </w:rPr>
        <w:t>báo</w:t>
      </w:r>
      <w:r w:rsidR="00B81761" w:rsidRPr="00536E93">
        <w:rPr>
          <w:rFonts w:cs="Times New Roman"/>
          <w:lang w:val="vi-VN"/>
        </w:rPr>
        <w:t xml:space="preserve"> cáo</w:t>
      </w:r>
      <w:r w:rsidRPr="00536E93">
        <w:rPr>
          <w:rFonts w:cs="Times New Roman"/>
        </w:rPr>
        <w:t xml:space="preserve"> </w:t>
      </w:r>
      <w:r w:rsidR="00BD1292" w:rsidRPr="00536E93">
        <w:rPr>
          <w:rFonts w:cs="Times New Roman"/>
        </w:rPr>
        <w:t>Bộ trưởng</w:t>
      </w:r>
      <w:r w:rsidR="00554204">
        <w:rPr>
          <w:rFonts w:cs="Times New Roman"/>
        </w:rPr>
        <w:t>, Thứ trưởng</w:t>
      </w:r>
      <w:r w:rsidRPr="00536E93">
        <w:rPr>
          <w:rFonts w:cs="Times New Roman"/>
        </w:rPr>
        <w:t xml:space="preserve"> xem xét, cho ý kiến</w:t>
      </w:r>
      <w:r w:rsidR="00B5311B" w:rsidRPr="00536E93">
        <w:rPr>
          <w:rFonts w:cs="Times New Roman"/>
        </w:rPr>
        <w:t xml:space="preserve"> chỉ đạo đối với</w:t>
      </w:r>
      <w:r w:rsidRPr="00536E93">
        <w:rPr>
          <w:rFonts w:cs="Times New Roman"/>
        </w:rPr>
        <w:t xml:space="preserve"> một số vấn đề sau:</w:t>
      </w:r>
    </w:p>
    <w:p w14:paraId="5AF0BC7E" w14:textId="3960BF8D" w:rsidR="002D7791" w:rsidRDefault="002D7791" w:rsidP="00536E93">
      <w:pPr>
        <w:widowControl w:val="0"/>
        <w:spacing w:before="120"/>
        <w:ind w:firstLine="720"/>
        <w:jc w:val="both"/>
        <w:rPr>
          <w:rFonts w:cs="Times New Roman"/>
        </w:rPr>
      </w:pPr>
      <w:r>
        <w:rPr>
          <w:rFonts w:cs="Times New Roman"/>
        </w:rPr>
        <w:t>………………………………………….</w:t>
      </w:r>
    </w:p>
    <w:p w14:paraId="65CBC9DD" w14:textId="747A00AD" w:rsidR="00016795" w:rsidRPr="00536E93" w:rsidRDefault="00016795" w:rsidP="00536E93">
      <w:pPr>
        <w:widowControl w:val="0"/>
        <w:spacing w:before="120"/>
        <w:ind w:firstLine="720"/>
        <w:jc w:val="both"/>
        <w:rPr>
          <w:rFonts w:cs="Times New Roman"/>
        </w:rPr>
      </w:pPr>
      <w:r w:rsidRPr="00536E93">
        <w:rPr>
          <w:rFonts w:cs="Times New Roman"/>
        </w:rPr>
        <w:t>Trên đây là Tờ trình về dự thảo</w:t>
      </w:r>
      <w:r w:rsidR="00F16BF9" w:rsidRPr="00536E93">
        <w:rPr>
          <w:rFonts w:cs="Times New Roman"/>
        </w:rPr>
        <w:t xml:space="preserve"> </w:t>
      </w:r>
      <w:r w:rsidR="002D7791" w:rsidRPr="002D7791">
        <w:rPr>
          <w:rFonts w:cs="Times New Roman"/>
        </w:rPr>
        <w:t>dự thảo Thông tư hướng dẫn một số nội dung trong hoạt động đầu tư theo phương thức đối tác công tư lĩnh vực xử lý chất thải rắn sinh hoạt</w:t>
      </w:r>
      <w:r w:rsidRPr="00536E93">
        <w:rPr>
          <w:rFonts w:cs="Times New Roman"/>
        </w:rPr>
        <w:t>,</w:t>
      </w:r>
      <w:r w:rsidR="00F16BF9" w:rsidRPr="00536E93">
        <w:rPr>
          <w:rFonts w:cs="Times New Roman"/>
        </w:rPr>
        <w:t xml:space="preserve"> </w:t>
      </w:r>
      <w:r w:rsidR="005C57E1" w:rsidRPr="00536E93">
        <w:rPr>
          <w:rFonts w:cs="Times New Roman"/>
        </w:rPr>
        <w:t xml:space="preserve">Cục </w:t>
      </w:r>
      <w:r w:rsidR="0062647C">
        <w:rPr>
          <w:rFonts w:cs="Times New Roman"/>
        </w:rPr>
        <w:t>M</w:t>
      </w:r>
      <w:r w:rsidR="005C57E1" w:rsidRPr="00536E93">
        <w:rPr>
          <w:rFonts w:cs="Times New Roman"/>
        </w:rPr>
        <w:t xml:space="preserve">ôi trường </w:t>
      </w:r>
      <w:r w:rsidRPr="00536E93">
        <w:rPr>
          <w:rFonts w:cs="Times New Roman"/>
        </w:rPr>
        <w:t>kính trình</w:t>
      </w:r>
      <w:r w:rsidR="00F16BF9" w:rsidRPr="00536E93">
        <w:rPr>
          <w:rFonts w:cs="Times New Roman"/>
        </w:rPr>
        <w:t xml:space="preserve"> </w:t>
      </w:r>
      <w:r w:rsidR="00EB5DDE">
        <w:rPr>
          <w:rFonts w:cs="Times New Roman"/>
        </w:rPr>
        <w:t>Q. Bộ trưởng Trần Đức Thắng</w:t>
      </w:r>
      <w:r w:rsidR="002D7791">
        <w:rPr>
          <w:rFonts w:cs="Times New Roman"/>
        </w:rPr>
        <w:t>, Thứ trưởng Lê Công Thành</w:t>
      </w:r>
      <w:r w:rsidR="00F16BF9" w:rsidRPr="00536E93">
        <w:rPr>
          <w:rFonts w:cs="Times New Roman"/>
        </w:rPr>
        <w:t xml:space="preserve"> </w:t>
      </w:r>
      <w:r w:rsidRPr="00536E93">
        <w:rPr>
          <w:rFonts w:cs="Times New Roman"/>
        </w:rPr>
        <w:t>xem xét, quyết định./.</w:t>
      </w:r>
    </w:p>
    <w:p w14:paraId="560C0212" w14:textId="39CBA218" w:rsidR="00016795" w:rsidRPr="00536E93" w:rsidRDefault="00016795" w:rsidP="00536E93">
      <w:pPr>
        <w:widowControl w:val="0"/>
        <w:spacing w:before="120"/>
        <w:ind w:firstLine="720"/>
        <w:jc w:val="both"/>
        <w:rPr>
          <w:rFonts w:cs="Times New Roman"/>
          <w:color w:val="00B050"/>
          <w:spacing w:val="-2"/>
        </w:rPr>
      </w:pPr>
      <w:r w:rsidRPr="00536E93">
        <w:rPr>
          <w:rFonts w:cs="Times New Roman"/>
          <w:i/>
          <w:spacing w:val="-2"/>
        </w:rPr>
        <w:t>(Xin gửi kèm the</w:t>
      </w:r>
      <w:r w:rsidR="00F16BF9" w:rsidRPr="00536E93">
        <w:rPr>
          <w:rFonts w:cs="Times New Roman"/>
          <w:i/>
          <w:spacing w:val="-2"/>
        </w:rPr>
        <w:t>o:</w:t>
      </w:r>
      <w:r w:rsidR="00F16BF9" w:rsidRPr="00536E93">
        <w:rPr>
          <w:rFonts w:cs="Times New Roman"/>
          <w:spacing w:val="-2"/>
        </w:rPr>
        <w:t xml:space="preserve"> </w:t>
      </w:r>
      <w:r w:rsidR="002D7791" w:rsidRPr="002D7791">
        <w:rPr>
          <w:rFonts w:cs="Times New Roman"/>
          <w:i/>
          <w:iCs/>
          <w:spacing w:val="-2"/>
        </w:rPr>
        <w:t>(1)</w:t>
      </w:r>
      <w:r w:rsidR="002D7791">
        <w:rPr>
          <w:rFonts w:cs="Times New Roman"/>
          <w:spacing w:val="-2"/>
        </w:rPr>
        <w:t xml:space="preserve"> </w:t>
      </w:r>
      <w:r w:rsidR="00F16BF9" w:rsidRPr="00536E93">
        <w:rPr>
          <w:rFonts w:cs="Times New Roman"/>
          <w:i/>
          <w:spacing w:val="-2"/>
        </w:rPr>
        <w:t>Dự thảo thông tư; (2) Bản tổng hợp, giải trình, tiếp thu ý kiến của cơ quan, tổ chức, cá nhân và đối tượng chịu sự tác động trực tiếp của dự thảo Thông tư</w:t>
      </w:r>
      <w:r w:rsidR="00C84394" w:rsidRPr="00536E93">
        <w:rPr>
          <w:rFonts w:cs="Times New Roman"/>
          <w:i/>
          <w:spacing w:val="-2"/>
        </w:rPr>
        <w:t>)</w:t>
      </w:r>
      <w:r w:rsidR="001A04BB" w:rsidRPr="00536E93">
        <w:rPr>
          <w:rFonts w:cs="Times New Roman"/>
          <w:i/>
          <w:spacing w:val="-2"/>
        </w:rPr>
        <w:t>.</w:t>
      </w:r>
    </w:p>
    <w:tbl>
      <w:tblPr>
        <w:tblW w:w="5070" w:type="pct"/>
        <w:jc w:val="center"/>
        <w:tblLook w:val="01E0" w:firstRow="1" w:lastRow="1" w:firstColumn="1" w:lastColumn="1" w:noHBand="0" w:noVBand="0"/>
      </w:tblPr>
      <w:tblGrid>
        <w:gridCol w:w="5387"/>
        <w:gridCol w:w="4041"/>
      </w:tblGrid>
      <w:tr w:rsidR="00016795" w:rsidRPr="0060376D" w14:paraId="0DA24A91" w14:textId="77777777" w:rsidTr="00870C0D">
        <w:trPr>
          <w:jc w:val="center"/>
        </w:trPr>
        <w:tc>
          <w:tcPr>
            <w:tcW w:w="2857" w:type="pct"/>
          </w:tcPr>
          <w:p w14:paraId="5DAEE1F1" w14:textId="77777777" w:rsidR="00741791" w:rsidRPr="0060376D" w:rsidRDefault="00741791" w:rsidP="00A603EB">
            <w:pPr>
              <w:widowControl w:val="0"/>
              <w:rPr>
                <w:b/>
                <w:i/>
                <w:sz w:val="24"/>
                <w:szCs w:val="24"/>
              </w:rPr>
            </w:pPr>
          </w:p>
          <w:p w14:paraId="012D0AD5" w14:textId="77777777" w:rsidR="000815D4" w:rsidRDefault="00016795" w:rsidP="00A603EB">
            <w:pPr>
              <w:widowControl w:val="0"/>
              <w:rPr>
                <w:sz w:val="24"/>
                <w:szCs w:val="24"/>
              </w:rPr>
            </w:pPr>
            <w:r w:rsidRPr="0060376D">
              <w:rPr>
                <w:b/>
                <w:i/>
                <w:sz w:val="24"/>
                <w:szCs w:val="24"/>
              </w:rPr>
              <w:t>Nơi nhận:</w:t>
            </w:r>
            <w:r w:rsidRPr="0060376D">
              <w:rPr>
                <w:b/>
                <w:i/>
                <w:sz w:val="24"/>
                <w:szCs w:val="24"/>
              </w:rPr>
              <w:br/>
            </w:r>
            <w:r w:rsidRPr="0060376D">
              <w:rPr>
                <w:sz w:val="24"/>
                <w:szCs w:val="24"/>
              </w:rPr>
              <w:t>- Như trên;</w:t>
            </w:r>
          </w:p>
          <w:p w14:paraId="581D2E53" w14:textId="308DDDAC" w:rsidR="00016795" w:rsidRPr="0060376D" w:rsidRDefault="000815D4" w:rsidP="00A603EB">
            <w:pPr>
              <w:widowControl w:val="0"/>
              <w:rPr>
                <w:sz w:val="24"/>
                <w:szCs w:val="24"/>
              </w:rPr>
            </w:pPr>
            <w:r>
              <w:rPr>
                <w:sz w:val="24"/>
                <w:szCs w:val="24"/>
              </w:rPr>
              <w:t xml:space="preserve">- </w:t>
            </w:r>
            <w:r w:rsidR="00536E93">
              <w:rPr>
                <w:sz w:val="24"/>
                <w:szCs w:val="24"/>
              </w:rPr>
              <w:t>Vụ Pháp chế</w:t>
            </w:r>
            <w:r>
              <w:rPr>
                <w:sz w:val="24"/>
                <w:szCs w:val="24"/>
              </w:rPr>
              <w:t>;</w:t>
            </w:r>
            <w:r w:rsidR="00016795" w:rsidRPr="0060376D">
              <w:rPr>
                <w:sz w:val="24"/>
                <w:szCs w:val="24"/>
              </w:rPr>
              <w:br/>
            </w:r>
            <w:r w:rsidR="00AF2D6A" w:rsidRPr="0060376D">
              <w:rPr>
                <w:sz w:val="24"/>
                <w:szCs w:val="24"/>
              </w:rPr>
              <w:t xml:space="preserve">- </w:t>
            </w:r>
            <w:r w:rsidR="00536E93">
              <w:rPr>
                <w:sz w:val="24"/>
                <w:szCs w:val="24"/>
              </w:rPr>
              <w:t xml:space="preserve">Vụ Kế hoạch </w:t>
            </w:r>
            <w:r w:rsidR="00F31D27">
              <w:rPr>
                <w:sz w:val="24"/>
                <w:szCs w:val="24"/>
              </w:rPr>
              <w:t xml:space="preserve">- </w:t>
            </w:r>
            <w:r w:rsidR="00536E93">
              <w:rPr>
                <w:sz w:val="24"/>
                <w:szCs w:val="24"/>
              </w:rPr>
              <w:t>Tài chính</w:t>
            </w:r>
            <w:r w:rsidR="00AF2D6A" w:rsidRPr="0060376D">
              <w:rPr>
                <w:sz w:val="24"/>
                <w:szCs w:val="24"/>
              </w:rPr>
              <w:t>;</w:t>
            </w:r>
          </w:p>
          <w:p w14:paraId="282637C9" w14:textId="55BD4AFF" w:rsidR="00AF2D6A" w:rsidRPr="0060376D" w:rsidRDefault="00AF2D6A" w:rsidP="00A603EB">
            <w:pPr>
              <w:widowControl w:val="0"/>
              <w:rPr>
                <w:sz w:val="24"/>
                <w:szCs w:val="24"/>
              </w:rPr>
            </w:pPr>
            <w:r w:rsidRPr="0060376D">
              <w:rPr>
                <w:sz w:val="24"/>
                <w:szCs w:val="24"/>
              </w:rPr>
              <w:t>- Lưu: VT</w:t>
            </w:r>
            <w:r w:rsidR="00C31CC7" w:rsidRPr="0060376D">
              <w:rPr>
                <w:sz w:val="24"/>
                <w:szCs w:val="24"/>
              </w:rPr>
              <w:t>,</w:t>
            </w:r>
            <w:r w:rsidR="00536E93">
              <w:rPr>
                <w:sz w:val="24"/>
                <w:szCs w:val="24"/>
              </w:rPr>
              <w:t xml:space="preserve"> </w:t>
            </w:r>
            <w:r w:rsidR="007D3524">
              <w:rPr>
                <w:sz w:val="24"/>
                <w:szCs w:val="24"/>
              </w:rPr>
              <w:t>QLCT</w:t>
            </w:r>
            <w:r w:rsidR="00C31CC7" w:rsidRPr="0060376D">
              <w:rPr>
                <w:sz w:val="24"/>
                <w:szCs w:val="24"/>
              </w:rPr>
              <w:t>, L</w:t>
            </w:r>
            <w:r w:rsidR="00536E93" w:rsidRPr="00536E93">
              <w:rPr>
                <w:sz w:val="26"/>
                <w:szCs w:val="26"/>
                <w:vertAlign w:val="subscript"/>
              </w:rPr>
              <w:t>6</w:t>
            </w:r>
            <w:r w:rsidRPr="0060376D">
              <w:rPr>
                <w:sz w:val="24"/>
                <w:szCs w:val="24"/>
              </w:rPr>
              <w:t>.</w:t>
            </w:r>
          </w:p>
        </w:tc>
        <w:tc>
          <w:tcPr>
            <w:tcW w:w="2143" w:type="pct"/>
          </w:tcPr>
          <w:p w14:paraId="5D36DA9B" w14:textId="42B907DE" w:rsidR="00016795" w:rsidRPr="0060376D" w:rsidRDefault="001A04BB" w:rsidP="00536E93">
            <w:pPr>
              <w:widowControl w:val="0"/>
              <w:spacing w:before="120"/>
              <w:jc w:val="center"/>
              <w:rPr>
                <w:b/>
                <w:sz w:val="26"/>
                <w:szCs w:val="26"/>
              </w:rPr>
            </w:pPr>
            <w:r w:rsidRPr="0060376D">
              <w:rPr>
                <w:b/>
                <w:sz w:val="26"/>
                <w:szCs w:val="26"/>
              </w:rPr>
              <w:t>CỤC TRƯỞNG</w:t>
            </w:r>
            <w:r w:rsidR="00016795" w:rsidRPr="0060376D">
              <w:rPr>
                <w:b/>
                <w:sz w:val="26"/>
                <w:szCs w:val="26"/>
              </w:rPr>
              <w:br/>
            </w:r>
            <w:r w:rsidR="00016795" w:rsidRPr="0060376D">
              <w:rPr>
                <w:b/>
                <w:sz w:val="26"/>
                <w:szCs w:val="26"/>
              </w:rPr>
              <w:br/>
            </w:r>
          </w:p>
          <w:p w14:paraId="47D3E32B" w14:textId="77777777" w:rsidR="00A93BA8" w:rsidRPr="0060376D" w:rsidRDefault="00A93BA8" w:rsidP="00A603EB">
            <w:pPr>
              <w:widowControl w:val="0"/>
              <w:jc w:val="center"/>
              <w:rPr>
                <w:b/>
                <w:sz w:val="26"/>
                <w:szCs w:val="26"/>
              </w:rPr>
            </w:pPr>
          </w:p>
          <w:p w14:paraId="1C6D5C2E" w14:textId="31E7E286" w:rsidR="00016795" w:rsidRPr="0060376D" w:rsidRDefault="00016795" w:rsidP="00A603EB">
            <w:pPr>
              <w:widowControl w:val="0"/>
              <w:jc w:val="center"/>
              <w:rPr>
                <w:b/>
                <w:sz w:val="26"/>
                <w:szCs w:val="26"/>
              </w:rPr>
            </w:pPr>
          </w:p>
          <w:p w14:paraId="27EA0AB2" w14:textId="77777777" w:rsidR="001C4DF9" w:rsidRPr="0060376D" w:rsidRDefault="001C4DF9" w:rsidP="00A603EB">
            <w:pPr>
              <w:widowControl w:val="0"/>
              <w:jc w:val="center"/>
              <w:rPr>
                <w:b/>
                <w:sz w:val="26"/>
                <w:szCs w:val="26"/>
              </w:rPr>
            </w:pPr>
          </w:p>
          <w:p w14:paraId="2A760B75" w14:textId="2414BAEB" w:rsidR="00016795" w:rsidRPr="0060376D" w:rsidRDefault="005C57E1" w:rsidP="00A603EB">
            <w:pPr>
              <w:widowControl w:val="0"/>
              <w:jc w:val="center"/>
              <w:rPr>
                <w:b/>
                <w:sz w:val="27"/>
                <w:szCs w:val="27"/>
              </w:rPr>
            </w:pPr>
            <w:r w:rsidRPr="0060376D">
              <w:rPr>
                <w:b/>
              </w:rPr>
              <w:t>Hoàng Văn Thức</w:t>
            </w:r>
          </w:p>
        </w:tc>
      </w:tr>
    </w:tbl>
    <w:p w14:paraId="0D98981D" w14:textId="77777777" w:rsidR="003F5B21" w:rsidRPr="00276B78" w:rsidRDefault="003F5B21" w:rsidP="00A603EB">
      <w:pPr>
        <w:rPr>
          <w:sz w:val="2"/>
        </w:rPr>
      </w:pPr>
    </w:p>
    <w:sectPr w:rsidR="003F5B21" w:rsidRPr="00276B78" w:rsidSect="00E62D69">
      <w:headerReference w:type="default" r:id="rId8"/>
      <w:pgSz w:w="11907" w:h="16840" w:code="9"/>
      <w:pgMar w:top="1134" w:right="1021" w:bottom="1134"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FDCBF" w14:textId="77777777" w:rsidR="000911AA" w:rsidRDefault="000911AA" w:rsidP="001A04BB">
      <w:r>
        <w:separator/>
      </w:r>
    </w:p>
  </w:endnote>
  <w:endnote w:type="continuationSeparator" w:id="0">
    <w:p w14:paraId="4DE60206" w14:textId="77777777" w:rsidR="000911AA" w:rsidRDefault="000911AA" w:rsidP="001A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D6403" w14:textId="77777777" w:rsidR="000911AA" w:rsidRDefault="000911AA" w:rsidP="001A04BB">
      <w:r>
        <w:separator/>
      </w:r>
    </w:p>
  </w:footnote>
  <w:footnote w:type="continuationSeparator" w:id="0">
    <w:p w14:paraId="6F13BE54" w14:textId="77777777" w:rsidR="000911AA" w:rsidRDefault="000911AA" w:rsidP="001A0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1783874478"/>
      <w:docPartObj>
        <w:docPartGallery w:val="Page Numbers (Top of Page)"/>
        <w:docPartUnique/>
      </w:docPartObj>
    </w:sdtPr>
    <w:sdtEndPr>
      <w:rPr>
        <w:noProof/>
      </w:rPr>
    </w:sdtEndPr>
    <w:sdtContent>
      <w:p w14:paraId="26824C5D" w14:textId="787029AF" w:rsidR="001A04BB" w:rsidRPr="0060376D" w:rsidRDefault="001A04BB" w:rsidP="0060376D">
        <w:pPr>
          <w:pStyle w:val="Header"/>
          <w:jc w:val="center"/>
          <w:rPr>
            <w:sz w:val="26"/>
            <w:szCs w:val="26"/>
          </w:rPr>
        </w:pPr>
        <w:r w:rsidRPr="0060376D">
          <w:rPr>
            <w:sz w:val="26"/>
            <w:szCs w:val="26"/>
          </w:rPr>
          <w:fldChar w:fldCharType="begin"/>
        </w:r>
        <w:r w:rsidRPr="0060376D">
          <w:rPr>
            <w:sz w:val="26"/>
            <w:szCs w:val="26"/>
          </w:rPr>
          <w:instrText xml:space="preserve"> PAGE   \* MERGEFORMAT </w:instrText>
        </w:r>
        <w:r w:rsidRPr="0060376D">
          <w:rPr>
            <w:sz w:val="26"/>
            <w:szCs w:val="26"/>
          </w:rPr>
          <w:fldChar w:fldCharType="separate"/>
        </w:r>
        <w:r w:rsidR="002674EA">
          <w:rPr>
            <w:noProof/>
            <w:sz w:val="26"/>
            <w:szCs w:val="26"/>
          </w:rPr>
          <w:t>7</w:t>
        </w:r>
        <w:r w:rsidRPr="0060376D">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6806"/>
    <w:multiLevelType w:val="hybridMultilevel"/>
    <w:tmpl w:val="9AF6350C"/>
    <w:lvl w:ilvl="0" w:tplc="0720C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572D1F"/>
    <w:multiLevelType w:val="hybridMultilevel"/>
    <w:tmpl w:val="E36E8022"/>
    <w:lvl w:ilvl="0" w:tplc="AB46140E">
      <w:numFmt w:val="bullet"/>
      <w:lvlText w:val="-"/>
      <w:lvlJc w:val="left"/>
      <w:pPr>
        <w:ind w:left="4647" w:hanging="360"/>
      </w:pPr>
      <w:rPr>
        <w:rFonts w:ascii="Times New Roman" w:eastAsiaTheme="minorHAnsi" w:hAnsi="Times New Roman" w:cs="Times New Roman" w:hint="default"/>
      </w:rPr>
    </w:lvl>
    <w:lvl w:ilvl="1" w:tplc="04090003">
      <w:start w:val="1"/>
      <w:numFmt w:val="bullet"/>
      <w:lvlText w:val="o"/>
      <w:lvlJc w:val="left"/>
      <w:pPr>
        <w:ind w:left="5367" w:hanging="360"/>
      </w:pPr>
      <w:rPr>
        <w:rFonts w:ascii="Courier New" w:hAnsi="Courier New" w:cs="Courier New" w:hint="default"/>
      </w:rPr>
    </w:lvl>
    <w:lvl w:ilvl="2" w:tplc="04090005" w:tentative="1">
      <w:start w:val="1"/>
      <w:numFmt w:val="bullet"/>
      <w:lvlText w:val=""/>
      <w:lvlJc w:val="left"/>
      <w:pPr>
        <w:ind w:left="6087" w:hanging="360"/>
      </w:pPr>
      <w:rPr>
        <w:rFonts w:ascii="Wingdings" w:hAnsi="Wingdings" w:hint="default"/>
      </w:rPr>
    </w:lvl>
    <w:lvl w:ilvl="3" w:tplc="04090001" w:tentative="1">
      <w:start w:val="1"/>
      <w:numFmt w:val="bullet"/>
      <w:lvlText w:val=""/>
      <w:lvlJc w:val="left"/>
      <w:pPr>
        <w:ind w:left="6807" w:hanging="360"/>
      </w:pPr>
      <w:rPr>
        <w:rFonts w:ascii="Symbol" w:hAnsi="Symbol" w:hint="default"/>
      </w:rPr>
    </w:lvl>
    <w:lvl w:ilvl="4" w:tplc="04090003" w:tentative="1">
      <w:start w:val="1"/>
      <w:numFmt w:val="bullet"/>
      <w:lvlText w:val="o"/>
      <w:lvlJc w:val="left"/>
      <w:pPr>
        <w:ind w:left="7527" w:hanging="360"/>
      </w:pPr>
      <w:rPr>
        <w:rFonts w:ascii="Courier New" w:hAnsi="Courier New" w:cs="Courier New" w:hint="default"/>
      </w:rPr>
    </w:lvl>
    <w:lvl w:ilvl="5" w:tplc="04090005" w:tentative="1">
      <w:start w:val="1"/>
      <w:numFmt w:val="bullet"/>
      <w:lvlText w:val=""/>
      <w:lvlJc w:val="left"/>
      <w:pPr>
        <w:ind w:left="8247" w:hanging="360"/>
      </w:pPr>
      <w:rPr>
        <w:rFonts w:ascii="Wingdings" w:hAnsi="Wingdings" w:hint="default"/>
      </w:rPr>
    </w:lvl>
    <w:lvl w:ilvl="6" w:tplc="04090001" w:tentative="1">
      <w:start w:val="1"/>
      <w:numFmt w:val="bullet"/>
      <w:lvlText w:val=""/>
      <w:lvlJc w:val="left"/>
      <w:pPr>
        <w:ind w:left="8967" w:hanging="360"/>
      </w:pPr>
      <w:rPr>
        <w:rFonts w:ascii="Symbol" w:hAnsi="Symbol" w:hint="default"/>
      </w:rPr>
    </w:lvl>
    <w:lvl w:ilvl="7" w:tplc="04090003" w:tentative="1">
      <w:start w:val="1"/>
      <w:numFmt w:val="bullet"/>
      <w:lvlText w:val="o"/>
      <w:lvlJc w:val="left"/>
      <w:pPr>
        <w:ind w:left="9687" w:hanging="360"/>
      </w:pPr>
      <w:rPr>
        <w:rFonts w:ascii="Courier New" w:hAnsi="Courier New" w:cs="Courier New" w:hint="default"/>
      </w:rPr>
    </w:lvl>
    <w:lvl w:ilvl="8" w:tplc="04090005" w:tentative="1">
      <w:start w:val="1"/>
      <w:numFmt w:val="bullet"/>
      <w:lvlText w:val=""/>
      <w:lvlJc w:val="left"/>
      <w:pPr>
        <w:ind w:left="10407" w:hanging="360"/>
      </w:pPr>
      <w:rPr>
        <w:rFonts w:ascii="Wingdings" w:hAnsi="Wingdings" w:hint="default"/>
      </w:rPr>
    </w:lvl>
  </w:abstractNum>
  <w:abstractNum w:abstractNumId="2" w15:restartNumberingAfterBreak="0">
    <w:nsid w:val="6BB53E02"/>
    <w:multiLevelType w:val="hybridMultilevel"/>
    <w:tmpl w:val="15164328"/>
    <w:lvl w:ilvl="0" w:tplc="8214C46C">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04616807">
    <w:abstractNumId w:val="2"/>
  </w:num>
  <w:num w:numId="2" w16cid:durableId="1294676259">
    <w:abstractNumId w:val="1"/>
  </w:num>
  <w:num w:numId="3" w16cid:durableId="28018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95"/>
    <w:rsid w:val="00016795"/>
    <w:rsid w:val="0003604B"/>
    <w:rsid w:val="00037725"/>
    <w:rsid w:val="000456AE"/>
    <w:rsid w:val="0005309B"/>
    <w:rsid w:val="000815D4"/>
    <w:rsid w:val="000911AA"/>
    <w:rsid w:val="000A6734"/>
    <w:rsid w:val="000A7EFF"/>
    <w:rsid w:val="000B520F"/>
    <w:rsid w:val="000C648D"/>
    <w:rsid w:val="000C7E9D"/>
    <w:rsid w:val="000F20FB"/>
    <w:rsid w:val="001130DE"/>
    <w:rsid w:val="00122503"/>
    <w:rsid w:val="001312B5"/>
    <w:rsid w:val="00162085"/>
    <w:rsid w:val="00162E4C"/>
    <w:rsid w:val="00186938"/>
    <w:rsid w:val="001A04BB"/>
    <w:rsid w:val="001C4DF9"/>
    <w:rsid w:val="001C75EA"/>
    <w:rsid w:val="001E7AFA"/>
    <w:rsid w:val="001F6954"/>
    <w:rsid w:val="001F78F6"/>
    <w:rsid w:val="00211BEE"/>
    <w:rsid w:val="0021326C"/>
    <w:rsid w:val="002155F6"/>
    <w:rsid w:val="00227CDF"/>
    <w:rsid w:val="00232394"/>
    <w:rsid w:val="002360E5"/>
    <w:rsid w:val="00261E9B"/>
    <w:rsid w:val="002674EA"/>
    <w:rsid w:val="00276B78"/>
    <w:rsid w:val="0029742C"/>
    <w:rsid w:val="002D7658"/>
    <w:rsid w:val="002D7791"/>
    <w:rsid w:val="002F1F8D"/>
    <w:rsid w:val="00302E18"/>
    <w:rsid w:val="0032238F"/>
    <w:rsid w:val="003473D4"/>
    <w:rsid w:val="00354F7C"/>
    <w:rsid w:val="00364CB2"/>
    <w:rsid w:val="00370FD4"/>
    <w:rsid w:val="00386D3C"/>
    <w:rsid w:val="00394BC7"/>
    <w:rsid w:val="003C52D0"/>
    <w:rsid w:val="003E0982"/>
    <w:rsid w:val="003E2725"/>
    <w:rsid w:val="003F221D"/>
    <w:rsid w:val="003F5104"/>
    <w:rsid w:val="003F532C"/>
    <w:rsid w:val="003F59E8"/>
    <w:rsid w:val="003F5B21"/>
    <w:rsid w:val="0040267B"/>
    <w:rsid w:val="004069D7"/>
    <w:rsid w:val="00410671"/>
    <w:rsid w:val="004169F9"/>
    <w:rsid w:val="004277EE"/>
    <w:rsid w:val="0043665B"/>
    <w:rsid w:val="00436EEA"/>
    <w:rsid w:val="004454F8"/>
    <w:rsid w:val="004549AC"/>
    <w:rsid w:val="00472C45"/>
    <w:rsid w:val="004819C5"/>
    <w:rsid w:val="00490358"/>
    <w:rsid w:val="00495C01"/>
    <w:rsid w:val="004C38FF"/>
    <w:rsid w:val="004D7AA7"/>
    <w:rsid w:val="004E56B5"/>
    <w:rsid w:val="004E6448"/>
    <w:rsid w:val="004E6DD3"/>
    <w:rsid w:val="004F7728"/>
    <w:rsid w:val="00534248"/>
    <w:rsid w:val="00536E93"/>
    <w:rsid w:val="00554204"/>
    <w:rsid w:val="0056251D"/>
    <w:rsid w:val="005665B3"/>
    <w:rsid w:val="00566896"/>
    <w:rsid w:val="005706EC"/>
    <w:rsid w:val="005729DB"/>
    <w:rsid w:val="00572F98"/>
    <w:rsid w:val="0057790E"/>
    <w:rsid w:val="0058348B"/>
    <w:rsid w:val="00584D0D"/>
    <w:rsid w:val="00585B80"/>
    <w:rsid w:val="00592979"/>
    <w:rsid w:val="005A34DE"/>
    <w:rsid w:val="005C57E1"/>
    <w:rsid w:val="005C5AF0"/>
    <w:rsid w:val="005D5C1E"/>
    <w:rsid w:val="005E5D25"/>
    <w:rsid w:val="00601203"/>
    <w:rsid w:val="0060376D"/>
    <w:rsid w:val="00614835"/>
    <w:rsid w:val="006160FC"/>
    <w:rsid w:val="0062647C"/>
    <w:rsid w:val="00631860"/>
    <w:rsid w:val="0063478C"/>
    <w:rsid w:val="00661B97"/>
    <w:rsid w:val="0066251E"/>
    <w:rsid w:val="00663780"/>
    <w:rsid w:val="0068085F"/>
    <w:rsid w:val="00694878"/>
    <w:rsid w:val="006A1360"/>
    <w:rsid w:val="006B5245"/>
    <w:rsid w:val="006D1515"/>
    <w:rsid w:val="006F08ED"/>
    <w:rsid w:val="006F1975"/>
    <w:rsid w:val="00707E58"/>
    <w:rsid w:val="007103B6"/>
    <w:rsid w:val="007269CB"/>
    <w:rsid w:val="00741791"/>
    <w:rsid w:val="0078304F"/>
    <w:rsid w:val="0079191A"/>
    <w:rsid w:val="007B1D45"/>
    <w:rsid w:val="007B4862"/>
    <w:rsid w:val="007D3524"/>
    <w:rsid w:val="007E122D"/>
    <w:rsid w:val="007E4811"/>
    <w:rsid w:val="00800E6C"/>
    <w:rsid w:val="00801307"/>
    <w:rsid w:val="00824251"/>
    <w:rsid w:val="008440CC"/>
    <w:rsid w:val="008463E9"/>
    <w:rsid w:val="00851EF4"/>
    <w:rsid w:val="008568BF"/>
    <w:rsid w:val="00862107"/>
    <w:rsid w:val="00870221"/>
    <w:rsid w:val="00870C0D"/>
    <w:rsid w:val="00877823"/>
    <w:rsid w:val="0088378E"/>
    <w:rsid w:val="00884922"/>
    <w:rsid w:val="008A3037"/>
    <w:rsid w:val="008B4BC5"/>
    <w:rsid w:val="008C2630"/>
    <w:rsid w:val="008E20DB"/>
    <w:rsid w:val="0090375A"/>
    <w:rsid w:val="0091401D"/>
    <w:rsid w:val="009140F4"/>
    <w:rsid w:val="00920C4D"/>
    <w:rsid w:val="00924BF7"/>
    <w:rsid w:val="00932C91"/>
    <w:rsid w:val="009556B9"/>
    <w:rsid w:val="00963281"/>
    <w:rsid w:val="00963792"/>
    <w:rsid w:val="0096592C"/>
    <w:rsid w:val="009716C6"/>
    <w:rsid w:val="00991241"/>
    <w:rsid w:val="009C2015"/>
    <w:rsid w:val="009E4467"/>
    <w:rsid w:val="009F3941"/>
    <w:rsid w:val="00A133FF"/>
    <w:rsid w:val="00A142C8"/>
    <w:rsid w:val="00A463CE"/>
    <w:rsid w:val="00A53CE0"/>
    <w:rsid w:val="00A56D7C"/>
    <w:rsid w:val="00A571FB"/>
    <w:rsid w:val="00A603EB"/>
    <w:rsid w:val="00A82B26"/>
    <w:rsid w:val="00A93BA8"/>
    <w:rsid w:val="00AC6A18"/>
    <w:rsid w:val="00AD40A6"/>
    <w:rsid w:val="00AF0C2E"/>
    <w:rsid w:val="00AF2D6A"/>
    <w:rsid w:val="00AF756F"/>
    <w:rsid w:val="00B003D1"/>
    <w:rsid w:val="00B02C7F"/>
    <w:rsid w:val="00B330C9"/>
    <w:rsid w:val="00B41B1A"/>
    <w:rsid w:val="00B460EB"/>
    <w:rsid w:val="00B5311B"/>
    <w:rsid w:val="00B57FFA"/>
    <w:rsid w:val="00B64C04"/>
    <w:rsid w:val="00B65168"/>
    <w:rsid w:val="00B74F45"/>
    <w:rsid w:val="00B81761"/>
    <w:rsid w:val="00B83529"/>
    <w:rsid w:val="00B8502B"/>
    <w:rsid w:val="00B86B44"/>
    <w:rsid w:val="00B913A4"/>
    <w:rsid w:val="00B937F7"/>
    <w:rsid w:val="00B93CC5"/>
    <w:rsid w:val="00BA10F6"/>
    <w:rsid w:val="00BA35DE"/>
    <w:rsid w:val="00BC762F"/>
    <w:rsid w:val="00BD1292"/>
    <w:rsid w:val="00BE1629"/>
    <w:rsid w:val="00BE34C8"/>
    <w:rsid w:val="00BE7102"/>
    <w:rsid w:val="00BF3728"/>
    <w:rsid w:val="00C06C8F"/>
    <w:rsid w:val="00C14A0F"/>
    <w:rsid w:val="00C17AD1"/>
    <w:rsid w:val="00C260CC"/>
    <w:rsid w:val="00C31CC7"/>
    <w:rsid w:val="00C51C30"/>
    <w:rsid w:val="00C52712"/>
    <w:rsid w:val="00C644BE"/>
    <w:rsid w:val="00C64613"/>
    <w:rsid w:val="00C64BCD"/>
    <w:rsid w:val="00C74C0A"/>
    <w:rsid w:val="00C774BD"/>
    <w:rsid w:val="00C84394"/>
    <w:rsid w:val="00CB2BBE"/>
    <w:rsid w:val="00CC1680"/>
    <w:rsid w:val="00CE09D9"/>
    <w:rsid w:val="00CE2296"/>
    <w:rsid w:val="00CE6ACA"/>
    <w:rsid w:val="00D0244C"/>
    <w:rsid w:val="00D11CBC"/>
    <w:rsid w:val="00D438C7"/>
    <w:rsid w:val="00D55FA3"/>
    <w:rsid w:val="00D72B25"/>
    <w:rsid w:val="00D76BA1"/>
    <w:rsid w:val="00D8422A"/>
    <w:rsid w:val="00D95962"/>
    <w:rsid w:val="00DA3EFF"/>
    <w:rsid w:val="00DA42A4"/>
    <w:rsid w:val="00DC2759"/>
    <w:rsid w:val="00DC47CB"/>
    <w:rsid w:val="00DC499D"/>
    <w:rsid w:val="00DF1139"/>
    <w:rsid w:val="00E01CBF"/>
    <w:rsid w:val="00E06AD8"/>
    <w:rsid w:val="00E16D1F"/>
    <w:rsid w:val="00E23DA6"/>
    <w:rsid w:val="00E46DF0"/>
    <w:rsid w:val="00E50E2B"/>
    <w:rsid w:val="00E54357"/>
    <w:rsid w:val="00E608F7"/>
    <w:rsid w:val="00E62D69"/>
    <w:rsid w:val="00E671FA"/>
    <w:rsid w:val="00E728B7"/>
    <w:rsid w:val="00E83261"/>
    <w:rsid w:val="00EB5DDE"/>
    <w:rsid w:val="00EC50E7"/>
    <w:rsid w:val="00ED3A80"/>
    <w:rsid w:val="00ED52AD"/>
    <w:rsid w:val="00EF0D07"/>
    <w:rsid w:val="00F12613"/>
    <w:rsid w:val="00F16BF9"/>
    <w:rsid w:val="00F16E3F"/>
    <w:rsid w:val="00F22299"/>
    <w:rsid w:val="00F31D27"/>
    <w:rsid w:val="00F33D42"/>
    <w:rsid w:val="00F46408"/>
    <w:rsid w:val="00F60A98"/>
    <w:rsid w:val="00F644E4"/>
    <w:rsid w:val="00F7740C"/>
    <w:rsid w:val="00F820AE"/>
    <w:rsid w:val="00F83E7C"/>
    <w:rsid w:val="00F8410D"/>
    <w:rsid w:val="00F96E18"/>
    <w:rsid w:val="00FA7FA1"/>
    <w:rsid w:val="00FB3C82"/>
    <w:rsid w:val="00FC5B7E"/>
    <w:rsid w:val="00FD2A3F"/>
    <w:rsid w:val="00FD4B5A"/>
    <w:rsid w:val="00FE64FC"/>
    <w:rsid w:val="00FF1BEA"/>
    <w:rsid w:val="00FF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6CDD"/>
  <w15:docId w15:val="{738A52EB-C34A-4D2F-9584-B2335E34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8"/>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76D"/>
    <w:pPr>
      <w:spacing w:after="0" w:line="240" w:lineRule="auto"/>
    </w:pPr>
  </w:style>
  <w:style w:type="paragraph" w:styleId="Heading1">
    <w:name w:val="heading 1"/>
    <w:basedOn w:val="Normal"/>
    <w:next w:val="Normal"/>
    <w:link w:val="Heading1Char"/>
    <w:autoRedefine/>
    <w:qFormat/>
    <w:rsid w:val="0060376D"/>
    <w:pPr>
      <w:keepNext/>
      <w:widowControl w:val="0"/>
      <w:spacing w:before="120" w:after="120" w:line="264" w:lineRule="auto"/>
      <w:ind w:firstLine="720"/>
      <w:jc w:val="both"/>
      <w:outlineLvl w:val="0"/>
    </w:pPr>
    <w:rPr>
      <w:b/>
      <w:sz w:val="26"/>
      <w:szCs w:val="26"/>
    </w:rPr>
  </w:style>
  <w:style w:type="paragraph" w:styleId="Heading2">
    <w:name w:val="heading 2"/>
    <w:basedOn w:val="Normal"/>
    <w:next w:val="Normal"/>
    <w:link w:val="Heading2Char"/>
    <w:autoRedefine/>
    <w:unhideWhenUsed/>
    <w:qFormat/>
    <w:rsid w:val="009C2015"/>
    <w:pPr>
      <w:keepNext/>
      <w:widowControl w:val="0"/>
      <w:spacing w:before="120" w:after="120" w:line="264" w:lineRule="auto"/>
      <w:ind w:firstLine="720"/>
      <w:jc w:val="both"/>
      <w:outlineLvl w:val="1"/>
    </w:pPr>
    <w:rPr>
      <w:rFonts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016795"/>
    <w:pPr>
      <w:spacing w:after="160" w:line="240" w:lineRule="exact"/>
    </w:pPr>
    <w:rPr>
      <w:rFonts w:ascii="Arial" w:hAnsi="Arial" w:cs="Arial"/>
      <w:sz w:val="22"/>
      <w:szCs w:val="22"/>
    </w:rPr>
  </w:style>
  <w:style w:type="paragraph" w:styleId="ListParagraph">
    <w:name w:val="List Paragraph"/>
    <w:basedOn w:val="Normal"/>
    <w:uiPriority w:val="34"/>
    <w:qFormat/>
    <w:rsid w:val="001130DE"/>
    <w:pPr>
      <w:ind w:left="720"/>
      <w:contextualSpacing/>
    </w:pPr>
  </w:style>
  <w:style w:type="character" w:styleId="Hyperlink">
    <w:name w:val="Hyperlink"/>
    <w:uiPriority w:val="99"/>
    <w:unhideWhenUsed/>
    <w:rsid w:val="00B65168"/>
    <w:rPr>
      <w:color w:val="0000FF"/>
      <w:u w:val="single"/>
    </w:rPr>
  </w:style>
  <w:style w:type="paragraph" w:styleId="TOC1">
    <w:name w:val="toc 1"/>
    <w:basedOn w:val="Normal"/>
    <w:next w:val="Normal"/>
    <w:autoRedefine/>
    <w:uiPriority w:val="39"/>
    <w:rsid w:val="00B65168"/>
    <w:pPr>
      <w:spacing w:after="120"/>
      <w:jc w:val="center"/>
    </w:pPr>
    <w:rPr>
      <w:b/>
      <w:color w:val="0000FF"/>
      <w:sz w:val="24"/>
      <w:szCs w:val="20"/>
      <w:lang w:val="vi-VN"/>
    </w:rPr>
  </w:style>
  <w:style w:type="paragraph" w:styleId="TOC3">
    <w:name w:val="toc 3"/>
    <w:basedOn w:val="Normal"/>
    <w:next w:val="Normal"/>
    <w:autoRedefine/>
    <w:uiPriority w:val="39"/>
    <w:rsid w:val="00B65168"/>
    <w:pPr>
      <w:spacing w:after="120"/>
      <w:ind w:left="480" w:firstLine="567"/>
      <w:jc w:val="both"/>
    </w:pPr>
    <w:rPr>
      <w:rFonts w:ascii=".VnTime" w:hAnsi=".VnTime"/>
      <w:color w:val="0000FF"/>
      <w:sz w:val="24"/>
      <w:szCs w:val="20"/>
    </w:rPr>
  </w:style>
  <w:style w:type="paragraph" w:styleId="Header">
    <w:name w:val="header"/>
    <w:basedOn w:val="Normal"/>
    <w:link w:val="HeaderChar"/>
    <w:uiPriority w:val="99"/>
    <w:unhideWhenUsed/>
    <w:rsid w:val="001A04BB"/>
    <w:pPr>
      <w:tabs>
        <w:tab w:val="center" w:pos="4680"/>
        <w:tab w:val="right" w:pos="9360"/>
      </w:tabs>
    </w:pPr>
  </w:style>
  <w:style w:type="character" w:customStyle="1" w:styleId="HeaderChar">
    <w:name w:val="Header Char"/>
    <w:basedOn w:val="DefaultParagraphFont"/>
    <w:link w:val="Header"/>
    <w:uiPriority w:val="99"/>
    <w:rsid w:val="001A04BB"/>
    <w:rPr>
      <w:rFonts w:eastAsia="Times New Roman" w:cs="Times New Roman"/>
      <w:szCs w:val="28"/>
    </w:rPr>
  </w:style>
  <w:style w:type="paragraph" w:styleId="Footer">
    <w:name w:val="footer"/>
    <w:basedOn w:val="Normal"/>
    <w:link w:val="FooterChar"/>
    <w:uiPriority w:val="99"/>
    <w:unhideWhenUsed/>
    <w:rsid w:val="001A04BB"/>
    <w:pPr>
      <w:tabs>
        <w:tab w:val="center" w:pos="4680"/>
        <w:tab w:val="right" w:pos="9360"/>
      </w:tabs>
    </w:pPr>
  </w:style>
  <w:style w:type="character" w:customStyle="1" w:styleId="FooterChar">
    <w:name w:val="Footer Char"/>
    <w:basedOn w:val="DefaultParagraphFont"/>
    <w:link w:val="Footer"/>
    <w:uiPriority w:val="99"/>
    <w:rsid w:val="001A04BB"/>
    <w:rPr>
      <w:rFonts w:eastAsia="Times New Roman" w:cs="Times New Roman"/>
      <w:szCs w:val="28"/>
    </w:rPr>
  </w:style>
  <w:style w:type="character" w:customStyle="1" w:styleId="Heading1Char">
    <w:name w:val="Heading 1 Char"/>
    <w:basedOn w:val="DefaultParagraphFont"/>
    <w:link w:val="Heading1"/>
    <w:rsid w:val="0060376D"/>
    <w:rPr>
      <w:b/>
      <w:sz w:val="26"/>
      <w:szCs w:val="26"/>
    </w:rPr>
  </w:style>
  <w:style w:type="character" w:customStyle="1" w:styleId="Heading2Char">
    <w:name w:val="Heading 2 Char"/>
    <w:basedOn w:val="DefaultParagraphFont"/>
    <w:link w:val="Heading2"/>
    <w:rsid w:val="009C2015"/>
    <w:rPr>
      <w:rFonts w:cs="Times New Roman"/>
      <w:bCs/>
    </w:rPr>
  </w:style>
  <w:style w:type="paragraph" w:styleId="Revision">
    <w:name w:val="Revision"/>
    <w:hidden/>
    <w:uiPriority w:val="99"/>
    <w:semiHidden/>
    <w:rsid w:val="00D11CBC"/>
    <w:pPr>
      <w:spacing w:after="0" w:line="240" w:lineRule="auto"/>
    </w:pPr>
  </w:style>
  <w:style w:type="paragraph" w:styleId="BalloonText">
    <w:name w:val="Balloon Text"/>
    <w:basedOn w:val="Normal"/>
    <w:link w:val="BalloonTextChar"/>
    <w:uiPriority w:val="99"/>
    <w:semiHidden/>
    <w:unhideWhenUsed/>
    <w:rsid w:val="00EC50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0E7"/>
    <w:rPr>
      <w:rFonts w:ascii="Segoe UI" w:hAnsi="Segoe UI" w:cs="Segoe UI"/>
      <w:sz w:val="18"/>
      <w:szCs w:val="18"/>
    </w:rPr>
  </w:style>
  <w:style w:type="character" w:styleId="CommentReference">
    <w:name w:val="annotation reference"/>
    <w:basedOn w:val="DefaultParagraphFont"/>
    <w:uiPriority w:val="99"/>
    <w:semiHidden/>
    <w:unhideWhenUsed/>
    <w:rsid w:val="002674EA"/>
    <w:rPr>
      <w:sz w:val="16"/>
      <w:szCs w:val="16"/>
    </w:rPr>
  </w:style>
  <w:style w:type="paragraph" w:styleId="CommentText">
    <w:name w:val="annotation text"/>
    <w:basedOn w:val="Normal"/>
    <w:link w:val="CommentTextChar"/>
    <w:uiPriority w:val="99"/>
    <w:semiHidden/>
    <w:unhideWhenUsed/>
    <w:rsid w:val="002674EA"/>
    <w:rPr>
      <w:sz w:val="20"/>
      <w:szCs w:val="20"/>
    </w:rPr>
  </w:style>
  <w:style w:type="character" w:customStyle="1" w:styleId="CommentTextChar">
    <w:name w:val="Comment Text Char"/>
    <w:basedOn w:val="DefaultParagraphFont"/>
    <w:link w:val="CommentText"/>
    <w:uiPriority w:val="99"/>
    <w:semiHidden/>
    <w:rsid w:val="002674EA"/>
    <w:rPr>
      <w:sz w:val="20"/>
      <w:szCs w:val="20"/>
    </w:rPr>
  </w:style>
  <w:style w:type="paragraph" w:styleId="CommentSubject">
    <w:name w:val="annotation subject"/>
    <w:basedOn w:val="CommentText"/>
    <w:next w:val="CommentText"/>
    <w:link w:val="CommentSubjectChar"/>
    <w:uiPriority w:val="99"/>
    <w:semiHidden/>
    <w:unhideWhenUsed/>
    <w:rsid w:val="002674EA"/>
    <w:rPr>
      <w:b/>
      <w:bCs/>
    </w:rPr>
  </w:style>
  <w:style w:type="character" w:customStyle="1" w:styleId="CommentSubjectChar">
    <w:name w:val="Comment Subject Char"/>
    <w:basedOn w:val="CommentTextChar"/>
    <w:link w:val="CommentSubject"/>
    <w:uiPriority w:val="99"/>
    <w:semiHidden/>
    <w:rsid w:val="002674EA"/>
    <w:rPr>
      <w:b/>
      <w:bCs/>
      <w:sz w:val="20"/>
      <w:szCs w:val="20"/>
    </w:rPr>
  </w:style>
  <w:style w:type="paragraph" w:styleId="FootnoteText">
    <w:name w:val="footnote text"/>
    <w:aliases w:val="single space,FOOTNOTES,fn,ft,Footnote Text Char Char Char Char Char,Footnote Text Char Char Char Char Char Char Ch,Footnote Text Char Char Char Char Char Char Ch Char,Footnote Text Char Char Char Char Char Char Ch Char Char Char Char,f,ADB"/>
    <w:basedOn w:val="Normal"/>
    <w:link w:val="FootnoteTextChar"/>
    <w:uiPriority w:val="99"/>
    <w:unhideWhenUsed/>
    <w:qFormat/>
    <w:rsid w:val="009C2015"/>
    <w:rPr>
      <w:rFonts w:eastAsia="Times New Roman" w:cs="Times New Roman"/>
      <w:sz w:val="20"/>
      <w:szCs w:val="20"/>
    </w:rPr>
  </w:style>
  <w:style w:type="character" w:customStyle="1" w:styleId="FootnoteTextChar">
    <w:name w:val="Footnote Text Char"/>
    <w:aliases w:val="single space Char,FOOTNOTES Char,fn Char,ft Char,Footnote Text Char Char Char Char Char Char,Footnote Text Char Char Char Char Char Char Ch Char1,Footnote Text Char Char Char Char Char Char Ch Char Char,f Char,ADB Char"/>
    <w:basedOn w:val="DefaultParagraphFont"/>
    <w:link w:val="FootnoteText"/>
    <w:uiPriority w:val="99"/>
    <w:qFormat/>
    <w:rsid w:val="009C2015"/>
    <w:rPr>
      <w:rFonts w:eastAsia="Times New Roman" w:cs="Times New Roman"/>
      <w:sz w:val="20"/>
      <w:szCs w:val="20"/>
    </w:rPr>
  </w:style>
  <w:style w:type="character" w:styleId="FootnoteReference">
    <w:name w:val="footnote reference"/>
    <w:aliases w:val="ftref,footnote ref,Footnote,16 Point,Superscript 6 Point,Odwołanie przypisu,Footnote text,Footnote + Arial,10 pt,Black,Superscript 6 Point + 11 pt,(NECG) Footnote Reference,Fußnotenzeichen DISS,fr,Footnote Ref in FtNote,BVI fnr,E FNZ"/>
    <w:link w:val="RefChar"/>
    <w:uiPriority w:val="99"/>
    <w:unhideWhenUsed/>
    <w:qFormat/>
    <w:rsid w:val="009C2015"/>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9C2015"/>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DE8F8-F5C1-4FE5-903E-08A2BD6C6B3F}">
  <ds:schemaRefs>
    <ds:schemaRef ds:uri="http://schemas.openxmlformats.org/officeDocument/2006/bibliography"/>
  </ds:schemaRefs>
</ds:datastoreItem>
</file>

<file path=customXml/itemProps2.xml><?xml version="1.0" encoding="utf-8"?>
<ds:datastoreItem xmlns:ds="http://schemas.openxmlformats.org/officeDocument/2006/customXml" ds:itemID="{1B4B243B-749E-4D5D-9A10-788EDC602067}"/>
</file>

<file path=customXml/itemProps3.xml><?xml version="1.0" encoding="utf-8"?>
<ds:datastoreItem xmlns:ds="http://schemas.openxmlformats.org/officeDocument/2006/customXml" ds:itemID="{EA16844D-0415-42A3-949A-32858FDE9C89}"/>
</file>

<file path=customXml/itemProps4.xml><?xml version="1.0" encoding="utf-8"?>
<ds:datastoreItem xmlns:ds="http://schemas.openxmlformats.org/officeDocument/2006/customXml" ds:itemID="{1CEC5C48-5705-45E7-8B10-7F203FF70219}"/>
</file>

<file path=docProps/app.xml><?xml version="1.0" encoding="utf-8"?>
<Properties xmlns="http://schemas.openxmlformats.org/officeDocument/2006/extended-properties" xmlns:vt="http://schemas.openxmlformats.org/officeDocument/2006/docPropsVTypes">
  <Template>Normal</Template>
  <TotalTime>1</TotalTime>
  <Pages>6</Pages>
  <Words>2230</Words>
  <Characters>12714</Characters>
  <Application>Microsoft Office Word</Application>
  <DocSecurity>0</DocSecurity>
  <Lines>105</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Dự thảo Thông tư PPP</vt: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 Thông tư PPP</dc:title>
  <dc:creator>PCD</dc:creator>
  <cp:lastModifiedBy>Thành Lam NGUYỄN</cp:lastModifiedBy>
  <cp:revision>2</cp:revision>
  <cp:lastPrinted>2024-11-06T10:42:00Z</cp:lastPrinted>
  <dcterms:created xsi:type="dcterms:W3CDTF">2025-08-28T09:44:00Z</dcterms:created>
  <dcterms:modified xsi:type="dcterms:W3CDTF">2025-08-28T09:44:00Z</dcterms:modified>
</cp:coreProperties>
</file>